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ICAHN CARL 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52" w:lineRule="auto"/>
        <w:rPr>
          <w:sz w:val="20"/>
          <w:szCs w:val="20"/>
          <w:color w:val="auto"/>
        </w:rPr>
      </w:pPr>
      <w:r>
        <w:rPr>
          <w:rFonts w:ascii="Times New Roman" w:cs="Times New Roman" w:eastAsia="Times New Roman" w:hAnsi="Times New Roman"/>
          <w:sz w:val="17"/>
          <w:szCs w:val="17"/>
          <w:color w:val="0000FF"/>
        </w:rPr>
        <w:t>C/O ICAHN ASSOCIATES HOLDING LLC 16690 COLLINS AVENUE, PH-1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Viskase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ENZND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03/25/2026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838" w:orient="portrait"/>
          <w:cols w:equalWidth="0" w:num="3">
            <w:col w:w="3280" w:space="640"/>
            <w:col w:w="3095" w:space="720"/>
            <w:col w:w="3345"/>
          </w:cols>
          <w:pgMar w:left="460" w:top="219" w:right="359" w:bottom="0" w:gutter="0" w:footer="0" w:header="0"/>
          <w:type w:val="continuous"/>
        </w:sectPr>
      </w:pPr>
    </w:p>
    <w:tbl>
      <w:tblPr>
        <w:tblLayout w:type="fixed"/>
        <w:tblInd w:w="80" w:type="dxa"/>
        <w:tblCellMar>
          <w:top w:w="0" w:type="dxa"/>
          <w:left w:w="0" w:type="dxa"/>
          <w:bottom w:w="0" w:type="dxa"/>
          <w:right w:w="0" w:type="dxa"/>
        </w:tblCellMar>
      </w:tblPr>
      <w:tr>
        <w:trPr>
          <w:trHeight w:val="92"/>
        </w:trPr>
        <w:tc>
          <w:tcPr>
            <w:tcW w:w="40" w:type="dxa"/>
            <w:vAlign w:val="bottom"/>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700" w:type="dxa"/>
            <w:vAlign w:val="bottom"/>
            <w:tcBorders>
              <w:bottom w:val="single" w:sz="8" w:color="9A9A9A"/>
            </w:tcBorders>
          </w:tcPr>
          <w:p>
            <w:pPr>
              <w:spacing w:after="0"/>
              <w:rPr>
                <w:sz w:val="7"/>
                <w:szCs w:val="7"/>
                <w:color w:val="auto"/>
              </w:rPr>
            </w:pPr>
          </w:p>
        </w:tc>
        <w:tc>
          <w:tcPr>
            <w:tcW w:w="3760" w:type="dxa"/>
            <w:vAlign w:val="bottom"/>
            <w:vMerge w:val="restart"/>
          </w:tcPr>
          <w:p>
            <w:pPr>
              <w:ind w:left="16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1700" w:type="dxa"/>
            <w:vAlign w:val="bottom"/>
            <w:tcBorders>
              <w:top w:val="single" w:sz="8" w:color="EEEEEE"/>
            </w:tcBorders>
          </w:tcPr>
          <w:p>
            <w:pPr>
              <w:spacing w:after="0"/>
              <w:rPr>
                <w:sz w:val="3"/>
                <w:szCs w:val="3"/>
                <w:color w:val="auto"/>
              </w:rPr>
            </w:pPr>
          </w:p>
        </w:tc>
        <w:tc>
          <w:tcPr>
            <w:tcW w:w="3760" w:type="dxa"/>
            <w:vAlign w:val="bottom"/>
            <w:vMerge w:val="continue"/>
          </w:tcPr>
          <w:p>
            <w:pPr>
              <w:spacing w:after="0"/>
              <w:rPr>
                <w:sz w:val="3"/>
                <w:szCs w:val="3"/>
                <w:color w:val="auto"/>
              </w:rPr>
            </w:pPr>
          </w:p>
        </w:tc>
        <w:tc>
          <w:tcPr>
            <w:tcW w:w="3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1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SUNNY ISLES</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FL</w:t>
            </w:r>
          </w:p>
        </w:tc>
        <w:tc>
          <w:tcPr>
            <w:tcW w:w="170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33160</w:t>
            </w:r>
          </w:p>
        </w:tc>
        <w:tc>
          <w:tcPr>
            <w:tcW w:w="3760" w:type="dxa"/>
            <w:vAlign w:val="bottom"/>
          </w:tcPr>
          <w:p>
            <w:pPr>
              <w:spacing w:after="0"/>
              <w:rPr>
                <w:sz w:val="15"/>
                <w:szCs w:val="15"/>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700" w:type="dxa"/>
            <w:vAlign w:val="bottom"/>
            <w:vMerge w:val="continue"/>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BEACH</w:t>
            </w:r>
          </w:p>
        </w:tc>
        <w:tc>
          <w:tcPr>
            <w:tcW w:w="7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70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3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1260" w:type="dxa"/>
            <w:vAlign w:val="bottom"/>
            <w:gridSpan w:val="5"/>
          </w:tcPr>
          <w:p>
            <w:pPr>
              <w:ind w:left="220"/>
              <w:spacing w:after="0"/>
              <w:rPr>
                <w:sz w:val="20"/>
                <w:szCs w:val="20"/>
                <w:color w:val="auto"/>
              </w:rPr>
            </w:pPr>
            <w:r>
              <w:rPr>
                <w:rFonts w:ascii="Arial" w:cs="Arial" w:eastAsia="Arial" w:hAnsi="Arial"/>
                <w:sz w:val="12"/>
                <w:szCs w:val="12"/>
                <w:b w:val="1"/>
                <w:bCs w:val="1"/>
                <w:color w:val="auto"/>
              </w:rPr>
              <w:t>2A. Deemed</w:t>
            </w:r>
          </w:p>
        </w:tc>
        <w:tc>
          <w:tcPr>
            <w:tcW w:w="36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460" w:type="dxa"/>
            <w:vAlign w:val="bottom"/>
          </w:tcPr>
          <w:p>
            <w:pPr>
              <w:spacing w:after="0"/>
              <w:rPr>
                <w:sz w:val="12"/>
                <w:szCs w:val="12"/>
                <w:color w:val="auto"/>
              </w:rPr>
            </w:pP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5"/>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20" w:type="dxa"/>
            <w:vAlign w:val="bottom"/>
            <w:gridSpan w:val="6"/>
          </w:tcPr>
          <w:p>
            <w:pPr>
              <w:ind w:left="2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5"/>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90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tcPr>
          <w:p>
            <w:pPr>
              <w:spacing w:after="0"/>
              <w:rPr>
                <w:sz w:val="7"/>
                <w:szCs w:val="7"/>
                <w:color w:val="auto"/>
              </w:rPr>
            </w:pPr>
          </w:p>
        </w:tc>
        <w:tc>
          <w:tcPr>
            <w:tcW w:w="90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62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Preferred Stock</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03/25/2026</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78"/>
                <w:vertAlign w:val="subscript"/>
              </w:rPr>
              <w:t>D</w:t>
            </w:r>
            <w:r>
              <w:rPr>
                <w:rFonts w:ascii="Times New Roman" w:cs="Times New Roman" w:eastAsia="Times New Roman" w:hAnsi="Times New Roman"/>
                <w:sz w:val="11"/>
                <w:szCs w:val="11"/>
                <w:color w:val="008000"/>
                <w:w w:val="78"/>
              </w:rPr>
              <w:t>(1)</w:t>
            </w:r>
          </w:p>
        </w:tc>
        <w:tc>
          <w:tcPr>
            <w:tcW w:w="460" w:type="dxa"/>
            <w:vAlign w:val="bottom"/>
          </w:tcPr>
          <w:p>
            <w:pPr>
              <w:spacing w:after="0"/>
              <w:rPr>
                <w:sz w:val="21"/>
                <w:szCs w:val="21"/>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39,277</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vMerge w:val="restart"/>
          </w:tcPr>
          <w:p>
            <w:pPr>
              <w:jc w:val="right"/>
              <w:ind w:right="162"/>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860" w:type="dxa"/>
            <w:vAlign w:val="bottom"/>
            <w:gridSpan w:val="2"/>
            <w:vMerge w:val="restart"/>
          </w:tcPr>
          <w:p>
            <w:pPr>
              <w:jc w:val="center"/>
              <w:ind w:left="114"/>
              <w:spacing w:after="0"/>
              <w:rPr>
                <w:sz w:val="20"/>
                <w:szCs w:val="20"/>
                <w:color w:val="auto"/>
              </w:rPr>
            </w:pPr>
            <w:r>
              <w:rPr>
                <w:rFonts w:ascii="Times New Roman" w:cs="Times New Roman" w:eastAsia="Times New Roman" w:hAnsi="Times New Roman"/>
                <w:sz w:val="17"/>
                <w:szCs w:val="17"/>
                <w:color w:val="0000FF"/>
                <w:w w:val="93"/>
              </w:rPr>
              <w:t>0</w:t>
            </w:r>
          </w:p>
        </w:tc>
        <w:tc>
          <w:tcPr>
            <w:tcW w:w="620" w:type="dxa"/>
            <w:vAlign w:val="bottom"/>
          </w:tcPr>
          <w:p>
            <w:pPr>
              <w:spacing w:after="0"/>
              <w:rPr>
                <w:sz w:val="21"/>
                <w:szCs w:val="21"/>
                <w:color w:val="auto"/>
              </w:rPr>
            </w:pP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12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Please 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w w:val="94"/>
              </w:rPr>
              <w:t>footnotes</w:t>
            </w:r>
            <w:r>
              <w:rPr>
                <w:rFonts w:ascii="Times New Roman" w:cs="Times New Roman" w:eastAsia="Times New Roman" w:hAnsi="Times New Roman"/>
                <w:sz w:val="22"/>
                <w:szCs w:val="22"/>
                <w:color w:val="008000"/>
                <w:w w:val="94"/>
                <w:vertAlign w:val="superscript"/>
              </w:rPr>
              <w:t>(4)(5)(6)</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03/25/2026</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78"/>
                <w:vertAlign w:val="subscript"/>
              </w:rPr>
              <w:t>A</w:t>
            </w:r>
            <w:r>
              <w:rPr>
                <w:rFonts w:ascii="Times New Roman" w:cs="Times New Roman" w:eastAsia="Times New Roman" w:hAnsi="Times New Roman"/>
                <w:sz w:val="11"/>
                <w:szCs w:val="11"/>
                <w:color w:val="008000"/>
                <w:w w:val="78"/>
              </w:rPr>
              <w:t>(1)</w:t>
            </w:r>
          </w:p>
        </w:tc>
        <w:tc>
          <w:tcPr>
            <w:tcW w:w="460" w:type="dxa"/>
            <w:vAlign w:val="bottom"/>
          </w:tcPr>
          <w:p>
            <w:pPr>
              <w:spacing w:after="0"/>
              <w:rPr>
                <w:sz w:val="21"/>
                <w:szCs w:val="21"/>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5,658,396</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right"/>
              <w:ind w:right="162"/>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148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7"/>
                <w:szCs w:val="17"/>
                <w:color w:val="0000FF"/>
                <w:w w:val="96"/>
              </w:rPr>
              <w:t>6,018,962</w:t>
            </w:r>
            <w:r>
              <w:rPr>
                <w:rFonts w:ascii="Times New Roman" w:cs="Times New Roman" w:eastAsia="Times New Roman" w:hAnsi="Times New Roman"/>
                <w:sz w:val="22"/>
                <w:szCs w:val="22"/>
                <w:color w:val="008000"/>
                <w:w w:val="96"/>
                <w:vertAlign w:val="superscript"/>
              </w:rPr>
              <w:t>(2)</w:t>
            </w: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12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Please 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w w:val="94"/>
              </w:rPr>
              <w:t>footnotes</w:t>
            </w:r>
            <w:r>
              <w:rPr>
                <w:rFonts w:ascii="Times New Roman" w:cs="Times New Roman" w:eastAsia="Times New Roman" w:hAnsi="Times New Roman"/>
                <w:sz w:val="22"/>
                <w:szCs w:val="22"/>
                <w:color w:val="008000"/>
                <w:w w:val="94"/>
                <w:vertAlign w:val="superscript"/>
              </w:rPr>
              <w:t>(4)(5)(6)</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03/26/2026</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78"/>
                <w:vertAlign w:val="subscript"/>
              </w:rPr>
              <w:t>A</w:t>
            </w:r>
            <w:r>
              <w:rPr>
                <w:rFonts w:ascii="Times New Roman" w:cs="Times New Roman" w:eastAsia="Times New Roman" w:hAnsi="Times New Roman"/>
                <w:sz w:val="11"/>
                <w:szCs w:val="11"/>
                <w:color w:val="008000"/>
                <w:w w:val="78"/>
              </w:rPr>
              <w:t>(3)</w:t>
            </w:r>
          </w:p>
        </w:tc>
        <w:tc>
          <w:tcPr>
            <w:tcW w:w="460" w:type="dxa"/>
            <w:vAlign w:val="bottom"/>
          </w:tcPr>
          <w:p>
            <w:pPr>
              <w:spacing w:after="0"/>
              <w:rPr>
                <w:sz w:val="21"/>
                <w:szCs w:val="21"/>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7,407,489</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right"/>
              <w:ind w:right="162"/>
              <w:spacing w:after="0"/>
              <w:rPr>
                <w:sz w:val="20"/>
                <w:szCs w:val="20"/>
                <w:color w:val="auto"/>
              </w:rPr>
            </w:pPr>
            <w:r>
              <w:rPr>
                <w:rFonts w:ascii="Times New Roman" w:cs="Times New Roman" w:eastAsia="Times New Roman" w:hAnsi="Times New Roman"/>
                <w:sz w:val="11"/>
                <w:szCs w:val="11"/>
                <w:color w:val="008000"/>
              </w:rPr>
              <w:t>(3)</w:t>
            </w:r>
          </w:p>
        </w:tc>
        <w:tc>
          <w:tcPr>
            <w:tcW w:w="40" w:type="dxa"/>
            <w:vAlign w:val="bottom"/>
          </w:tcPr>
          <w:p>
            <w:pPr>
              <w:spacing w:after="0"/>
              <w:rPr>
                <w:sz w:val="21"/>
                <w:szCs w:val="21"/>
                <w:color w:val="auto"/>
              </w:rPr>
            </w:pPr>
          </w:p>
        </w:tc>
        <w:tc>
          <w:tcPr>
            <w:tcW w:w="148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7"/>
                <w:szCs w:val="17"/>
                <w:color w:val="0000FF"/>
              </w:rPr>
              <w:t>13,426,451</w:t>
            </w: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12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Please 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(4)(5)(6)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106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60" w:type="dxa"/>
            <w:vAlign w:val="bottom"/>
            <w:gridSpan w:val="18"/>
          </w:tcPr>
          <w:p>
            <w:pPr>
              <w:ind w:left="8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980" w:type="dxa"/>
            <w:vAlign w:val="bottom"/>
            <w:gridSpan w:val="16"/>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w w:val="99"/>
              </w:rPr>
              <w:t>6. Date Exercisable and</w:t>
            </w:r>
          </w:p>
        </w:tc>
        <w:tc>
          <w:tcPr>
            <w:tcW w:w="104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Expiration</w:t>
            </w: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3"/>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ICAHN CARL C</w:t>
              </w:r>
            </w:hyperlink>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ICAHN ASSOCIATES HOLDING LLC</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16690 COLLINS AVENUE, PH-1</w:t>
            </w: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SUNNY ISLES</w:t>
            </w: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FL</w:t>
            </w:r>
          </w:p>
        </w:tc>
        <w:tc>
          <w:tcPr>
            <w:tcW w:w="10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33160</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74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3"/>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9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ICAHN ENTERPRISES HOLDINGS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-4371340</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16690 COLLINS AVENUE, PH-1</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5"/>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SUNNY ISLES</w:t>
            </w:r>
          </w:p>
        </w:tc>
        <w:tc>
          <w:tcPr>
            <w:tcW w:w="10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FL</w:t>
            </w:r>
          </w:p>
        </w:tc>
        <w:tc>
          <w:tcPr>
            <w:tcW w:w="18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33160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2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1040" w:type="dxa"/>
            <w:vAlign w:val="bottom"/>
            <w:vMerge w:val="continue"/>
          </w:tcPr>
          <w:p>
            <w:pPr>
              <w:spacing w:after="0"/>
              <w:rPr>
                <w:sz w:val="10"/>
                <w:szCs w:val="10"/>
                <w:color w:val="auto"/>
              </w:rPr>
            </w:pPr>
          </w:p>
        </w:tc>
        <w:tc>
          <w:tcPr>
            <w:tcW w:w="1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26441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809240" cy="2644140"/>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ICAHN ENTERPRISES G.P. INC.</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040" w:type="dxa"/>
            <w:vAlign w:val="bottom"/>
          </w:tcPr>
          <w:p>
            <w:pPr>
              <w:ind w:left="14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16690 COLLINS AVENUE, SUITE PH-1</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SUNNY ISLES</w:t>
            </w:r>
          </w:p>
        </w:tc>
        <w:tc>
          <w:tcPr>
            <w:tcW w:w="10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FL</w:t>
            </w:r>
          </w:p>
        </w:tc>
        <w:tc>
          <w:tcPr>
            <w:tcW w:w="18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33160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2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1040" w:type="dxa"/>
            <w:vAlign w:val="bottom"/>
            <w:vMerge w:val="continue"/>
          </w:tcPr>
          <w:p>
            <w:pPr>
              <w:spacing w:after="0"/>
              <w:rPr>
                <w:sz w:val="10"/>
                <w:szCs w:val="10"/>
                <w:color w:val="auto"/>
              </w:rPr>
            </w:pPr>
          </w:p>
        </w:tc>
        <w:tc>
          <w:tcPr>
            <w:tcW w:w="1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36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Disposed of in exchange for 5,658,396 shares of common stock of the Issuer in connection with the merger of the Issuer and Viskase Companies, Inc. (the "Merger"). Following the closing of the Merger on March 26, 2026, the combined company was renamed "Viskase Holdings, Inc."</w:t>
      </w:r>
    </w:p>
    <w:p>
      <w:pPr>
        <w:spacing w:after="0" w:line="7"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Issuer's 1-for-100 reverse stock split effected on March 25, 2026.</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in exchange for 150,810,078 shares of Viskase Companies, Inc. in connection with the Merger.</w:t>
      </w:r>
    </w:p>
    <w:p>
      <w:pPr>
        <w:spacing w:after="0" w:line="50" w:lineRule="exact"/>
        <w:rPr>
          <w:rFonts w:ascii="Times New Roman" w:cs="Times New Roman" w:eastAsia="Times New Roman" w:hAnsi="Times New Roman"/>
          <w:sz w:val="13"/>
          <w:szCs w:val="13"/>
          <w:color w:val="008000"/>
        </w:rPr>
      </w:pPr>
    </w:p>
    <w:p>
      <w:pPr>
        <w:ind w:right="54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being filed by, and on behalf of, Mr. Carl C. Icahn, Icahn Enterprises Holdings L.P. ("Icahn Enterprises Holdings") and Icahn Enterprises G.P. Inc. ("Icahn Enterprises GP" and, collectively with Mr. Icahn and Icahn Enterprises Holdings, the "Reporting Persons"). Shares held directly by American Entertainment Properties Corp ("AEP").</w:t>
      </w:r>
    </w:p>
    <w:p>
      <w:pPr>
        <w:spacing w:after="0" w:line="7" w:lineRule="exact"/>
        <w:rPr>
          <w:rFonts w:ascii="Times New Roman" w:cs="Times New Roman" w:eastAsia="Times New Roman" w:hAnsi="Times New Roman"/>
          <w:sz w:val="13"/>
          <w:szCs w:val="13"/>
          <w:color w:val="008000"/>
        </w:rPr>
      </w:pPr>
    </w:p>
    <w:p>
      <w:pPr>
        <w:ind w:right="140"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AEPC Holdings LLC owns 100% of the equity of AEP. Icahn Enterprises Holdings owns a 100% interest in AEPC Holdings LLC. Icahn Enterprises L.P. owns a 99% limited partner interest in Icahn Enterprises Holdings. Carl C. Icahn is the indirect holder of approximately 87% of the issued and outstanding depositary units representing limited partnership interests in Icahn Enterprises L.P. Icahn Enterprises GP is the general partner of and owns a 1% general partner interest in each of Icahn Enterprises Holdings and Icahn Enterprises L.P. Icahn Enterprises GP is 100% owned by Beckton Corp ("Beckton"). Beckton is 100% owned by Mr. Icahn.</w:t>
      </w:r>
    </w:p>
    <w:p>
      <w:pPr>
        <w:spacing w:after="0" w:line="24" w:lineRule="exact"/>
        <w:rPr>
          <w:rFonts w:ascii="Times New Roman" w:cs="Times New Roman" w:eastAsia="Times New Roman" w:hAnsi="Times New Roman"/>
          <w:sz w:val="13"/>
          <w:szCs w:val="13"/>
          <w:color w:val="008000"/>
        </w:rPr>
      </w:pPr>
    </w:p>
    <w:p>
      <w:pPr>
        <w:ind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AEP, Icahn Enterprises Holdings, Icahn Enterprises GP, Beckton and Mr. Icahn disclaims beneficial ownership of the Issuer's shares of common stock except to the extent of his or its pecuniary interest therein, if any.</w:t>
      </w:r>
    </w:p>
    <w:p>
      <w:pPr>
        <w:sectPr>
          <w:pgSz w:w="11900" w:h="16838" w:orient="portrait"/>
          <w:cols w:equalWidth="0" w:num="1">
            <w:col w:w="10860"/>
          </w:cols>
          <w:pgMar w:left="500" w:top="260" w:right="539" w:bottom="1440" w:gutter="0" w:footer="0" w:header="0"/>
        </w:sectPr>
      </w:pPr>
    </w:p>
    <w:p>
      <w:pPr>
        <w:spacing w:after="0" w:line="3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Carl C. Icahn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7207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5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Ted Papapostolou,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985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0985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Icahn Enterprises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By: Ted Papapostolou,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50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Financial Officer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152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Ted Papapostolou,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985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0985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Icahn Enterprises G.P.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07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Ted Papapostolou,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90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1290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Financial Officer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152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8680" w:space="60"/>
            <w:col w:w="2120"/>
          </w:cols>
          <w:pgMar w:left="500" w:top="260" w:right="53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260"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8"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13" Type="http://schemas.openxmlformats.org/officeDocument/2006/relationships/hyperlink" Target="http://www.sec.gov/cgi-bin/browse-edgar?action=getcompany&amp;CIK=0000921669" TargetMode="External"/><Relationship Id="rId14" Type="http://schemas.openxmlformats.org/officeDocument/2006/relationships/hyperlink" Target="http://www.sec.gov/cgi-bin/browse-edgar?action=getcompany&amp;CIK=0000727510" TargetMode="External"/><Relationship Id="rId16" Type="http://schemas.openxmlformats.org/officeDocument/2006/relationships/hyperlink" Target="http://www.sec.gov/cgi-bin/browse-edgar?action=getcompany&amp;CIK=0001034563" TargetMode="External"/><Relationship Id="rId19" Type="http://schemas.openxmlformats.org/officeDocument/2006/relationships/hyperlink" Target="http://www.sec.gov/cgi-bin/browse-edgar?action=getcompany&amp;CIK=00012573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2026-03-27T18:52:35Z</dcterms:created>
  <dcterms:modified xsi:type="dcterms:W3CDTF">2026-03-27T18:52:35Z</dcterms:modified>
</cp:coreProperties>
</file>