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nzn-20260630x10q.htm"/>
        <w:bookmarkStart w:id="1" w:name="ksenzn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f86087b_ae50_4c88_9d1d_0ff23d8b15c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p>
      <w:pPr>
        <w:pStyle w:val="Normal"/>
        <w:bidi w:val="0"/>
        <w:spacing w:before="0" w:after="0"/>
        <w:jc w:val="left"/>
        <w:rPr>
          <w:sz w:val="4"/>
          <w:szCs w:val="4"/>
        </w:rPr>
      </w:pPr>
      <w:r>
        <w:rPr>
          <w:sz w:val="4"/>
          <w:szCs w:val="4"/>
        </w:rPr>
      </w:r>
      <w:bookmarkStart w:id="3" w:name="Tc_exvpJ5XtREWLo82OBch8ng_1_1"/>
      <w:bookmarkStart w:id="4" w:name="_6632739b_8d37_42f8_b06f_258ec0f29335"/>
      <w:bookmarkStart w:id="5" w:name="Tc_exvpJ5XtREWLo82OBch8ng_1_1"/>
      <w:bookmarkStart w:id="6" w:name="_6632739b_8d37_42f8_b06f_258ec0f29335"/>
      <w:bookmarkEnd w:id="5"/>
      <w:bookmarkEnd w:id="6"/>
    </w:p>
    <w:tbl>
      <w:tblPr>
        <w:tblW w:w="9827" w:type="dxa"/>
        <w:jc w:val="left"/>
        <w:tblInd w:w="0" w:type="dxa"/>
        <w:tblLayout w:type="fixed"/>
        <w:tblCellMar>
          <w:top w:w="0" w:type="dxa"/>
          <w:left w:w="0" w:type="dxa"/>
          <w:bottom w:w="0" w:type="dxa"/>
          <w:right w:w="0" w:type="dxa"/>
        </w:tblCellMar>
      </w:tblPr>
      <w:tblGrid>
        <w:gridCol w:w="331"/>
        <w:gridCol w:w="949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E0IuuhFABk-pFq5wMThgkQ_1_1"/>
      <w:bookmarkStart w:id="8" w:name="_bff67d94_662b_449d_a240_93e109648046"/>
      <w:bookmarkStart w:id="9" w:name="Tc_E0IuuhFABk-pFq5wMThgkQ_1_1"/>
      <w:bookmarkStart w:id="10" w:name="_bff67d94_662b_449d_a240_93e109648046"/>
      <w:bookmarkEnd w:id="9"/>
      <w:bookmarkEnd w:id="10"/>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 001-12957</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Viskase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xWd_LVl4cEykRkoKyupqLw_2_1"/>
      <w:bookmarkStart w:id="12" w:name="Tc_5vT9i6agtU2gp9zR-VoNaw_2_0"/>
      <w:bookmarkStart w:id="13" w:name="_1b15313d_9700_4e33_a045_1ba4ff94dd08"/>
      <w:bookmarkStart w:id="14" w:name="Tc_xWd_LVl4cEykRkoKyupqLw_2_1"/>
      <w:bookmarkStart w:id="15" w:name="Tc_5vT9i6agtU2gp9zR-VoNaw_2_0"/>
      <w:bookmarkStart w:id="16" w:name="_1b15313d_9700_4e33_a045_1ba4ff94dd08"/>
      <w:bookmarkEnd w:id="14"/>
      <w:bookmarkEnd w:id="15"/>
      <w:bookmarkEnd w:id="16"/>
    </w:p>
    <w:tbl>
      <w:tblPr>
        <w:tblW w:w="7997" w:type="dxa"/>
        <w:jc w:val="left"/>
        <w:tblInd w:w="0" w:type="dxa"/>
        <w:tblLayout w:type="fixed"/>
        <w:tblCellMar>
          <w:top w:w="0" w:type="dxa"/>
          <w:left w:w="0" w:type="dxa"/>
          <w:bottom w:w="0" w:type="dxa"/>
          <w:right w:w="0" w:type="dxa"/>
        </w:tblCellMar>
      </w:tblPr>
      <w:tblGrid>
        <w:gridCol w:w="4966"/>
        <w:gridCol w:w="303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p>
        </w:tc>
        <w:tc>
          <w:tcPr>
            <w:tcW w:w="3031" w:type="dxa"/>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22-2372868</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ppGJi15r0kW44ouHDQoRDg_1_1"/>
      <w:bookmarkStart w:id="18" w:name="Tc_p-ikLZosckyfTWOiww-LNg_1_0"/>
      <w:bookmarkStart w:id="19" w:name="Tc_0yEHqQvJBUuZLuS6NWW4SQ_0_0"/>
      <w:bookmarkStart w:id="20" w:name="_d2d2cc57_1826_4348_98a9_a1f1f90e5687"/>
      <w:bookmarkStart w:id="21" w:name="Tc_ppGJi15r0kW44ouHDQoRDg_1_1"/>
      <w:bookmarkStart w:id="22" w:name="Tc_p-ikLZosckyfTWOiww-LNg_1_0"/>
      <w:bookmarkStart w:id="23" w:name="Tc_0yEHqQvJBUuZLuS6NWW4SQ_0_0"/>
      <w:bookmarkStart w:id="24" w:name="_d2d2cc57_1826_4348_98a9_a1f1f90e5687"/>
      <w:bookmarkEnd w:id="21"/>
      <w:bookmarkEnd w:id="22"/>
      <w:bookmarkEnd w:id="23"/>
      <w:bookmarkEnd w:id="24"/>
    </w:p>
    <w:tbl>
      <w:tblPr>
        <w:tblW w:w="5807" w:type="dxa"/>
        <w:jc w:val="left"/>
        <w:tblInd w:w="0" w:type="dxa"/>
        <w:tblLayout w:type="fixed"/>
        <w:tblCellMar>
          <w:top w:w="0" w:type="dxa"/>
          <w:left w:w="0" w:type="dxa"/>
          <w:bottom w:w="0" w:type="dxa"/>
          <w:right w:w="0" w:type="dxa"/>
        </w:tblCellMar>
      </w:tblPr>
      <w:tblGrid>
        <w:gridCol w:w="4771"/>
        <w:gridCol w:w="1036"/>
      </w:tblGrid>
      <w:tr>
        <w:trPr/>
        <w:tc>
          <w:tcPr>
            <w:tcW w:w="4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333 East Butterfield Road, Suite 400, Lombard, Illinois</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60148</w:t>
            </w:r>
          </w:p>
        </w:tc>
      </w:tr>
      <w:tr>
        <w:trPr/>
        <w:tc>
          <w:tcPr>
            <w:tcW w:w="47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(630) 874-0700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before="0" w:after="240"/>
        <w:ind w:left="0" w:right="0" w:hanging="0"/>
        <w:jc w:val="left"/>
        <w:rPr/>
      </w:pPr>
      <w:r>
        <w:rPr/>
        <w:t>​</w:t>
      </w:r>
    </w:p>
    <w:tbl>
      <w:tblPr>
        <w:tblW w:w="7715" w:type="dxa"/>
        <w:jc w:val="left"/>
        <w:tblInd w:w="0" w:type="dxa"/>
        <w:tblLayout w:type="fixed"/>
        <w:tblCellMar>
          <w:top w:w="0" w:type="dxa"/>
          <w:left w:w="0" w:type="dxa"/>
          <w:bottom w:w="28" w:type="dxa"/>
          <w:right w:w="0" w:type="dxa"/>
        </w:tblCellMar>
      </w:tblPr>
      <w:tblGrid>
        <w:gridCol w:w="1621"/>
        <w:gridCol w:w="286"/>
        <w:gridCol w:w="1696"/>
        <w:gridCol w:w="286"/>
        <w:gridCol w:w="3826"/>
      </w:tblGrid>
      <w:tr>
        <w:trPr/>
        <w:tc>
          <w:tcPr>
            <w:tcW w:w="16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86" w:type="dxa"/>
            <w:tcBorders/>
            <w:tcMar>
              <w:bottom w:w="0" w:type="dxa"/>
            </w:tcMar>
            <w:vAlign w:val="center"/>
          </w:tcPr>
          <w:p>
            <w:pPr>
              <w:pStyle w:val="TableContents"/>
              <w:bidi w:val="0"/>
              <w:spacing w:before="0" w:after="0"/>
              <w:ind w:left="0" w:right="0" w:hanging="0"/>
              <w:jc w:val="center"/>
              <w:rPr/>
            </w:pPr>
            <w:r>
              <w:rPr/>
              <w:t>  ​ ​</w:t>
            </w:r>
          </w:p>
        </w:tc>
        <w:tc>
          <w:tcPr>
            <w:tcW w:w="16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86" w:type="dxa"/>
            <w:tcBorders/>
            <w:tcMar>
              <w:bottom w:w="0" w:type="dxa"/>
            </w:tcMar>
            <w:vAlign w:val="center"/>
          </w:tcPr>
          <w:p>
            <w:pPr>
              <w:pStyle w:val="TableContents"/>
              <w:bidi w:val="0"/>
              <w:spacing w:before="0" w:after="0"/>
              <w:ind w:left="0" w:right="0" w:hanging="0"/>
              <w:jc w:val="center"/>
              <w:rPr/>
            </w:pPr>
            <w:r>
              <w:rPr/>
              <w:t>  ​ ​</w:t>
            </w:r>
          </w:p>
        </w:tc>
        <w:tc>
          <w:tcPr>
            <w:tcW w:w="3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286" w:type="dxa"/>
            <w:tcBorders/>
            <w:tcMar>
              <w:bottom w:w="0" w:type="dxa"/>
            </w:tcMar>
            <w:vAlign w:val="center"/>
          </w:tcPr>
          <w:p>
            <w:pPr>
              <w:pStyle w:val="TableContents"/>
              <w:bidi w:val="0"/>
              <w:spacing w:before="0" w:after="0"/>
              <w:ind w:left="0" w:right="0" w:hanging="0"/>
              <w:jc w:val="center"/>
              <w:rPr/>
            </w:pPr>
            <w:r>
              <w:rPr/>
              <w:t>​</w:t>
            </w:r>
          </w:p>
        </w:tc>
        <w:tc>
          <w:tcPr>
            <w:tcW w:w="16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286" w:type="dxa"/>
            <w:tcBorders/>
            <w:tcMar>
              <w:bottom w:w="0" w:type="dxa"/>
            </w:tcMar>
            <w:vAlign w:val="center"/>
          </w:tcPr>
          <w:p>
            <w:pPr>
              <w:pStyle w:val="TableContents"/>
              <w:bidi w:val="0"/>
              <w:spacing w:before="0" w:after="0"/>
              <w:ind w:left="0" w:right="0" w:hanging="0"/>
              <w:jc w:val="center"/>
              <w:rPr/>
            </w:pPr>
            <w:r>
              <w:rPr/>
              <w:t>​</w:t>
            </w:r>
          </w:p>
        </w:tc>
        <w:tc>
          <w:tcPr>
            <w:tcW w:w="3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of Common Stock outstanding as of August 3, 2026: 14,331,620</w:t>
      </w:r>
    </w:p>
    <w:p>
      <w:pPr>
        <w:pStyle w:val="TextBody"/>
        <w:bidi w:val="0"/>
        <w:spacing w:before="0" w:after="240"/>
        <w:ind w:left="0" w:right="0" w:hanging="0"/>
        <w:jc w:val="left"/>
        <w:rPr/>
      </w:pPr>
      <w:r>
        <w:rPr/>
        <w:t>​</w:t>
      </w:r>
    </w:p>
    <w:p>
      <w:pPr>
        <w:pStyle w:val="TextBody"/>
        <w:pBdr>
          <w:top w:val="single" w:sz="8" w:space="1" w:color="000000"/>
        </w:pBdr>
        <w:bidi w:val="0"/>
        <w:spacing w:lineRule="atLeast" w:line="142" w:before="0" w:after="240"/>
        <w:ind w:left="0" w:right="0" w:hanging="0"/>
        <w:jc w:val="left"/>
        <w:rPr/>
      </w:pPr>
      <w:r>
        <w:rPr/>
        <w:t>​</w:t>
      </w:r>
    </w:p>
    <w:p>
      <w:pPr>
        <w:pStyle w:val="TextBody"/>
        <w:pBdr>
          <w:bottom w:val="single" w:sz="24" w:space="1" w:color="000000"/>
        </w:pBdr>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5" w:name="_d8dc9ebc_30ff_4c81_af11_11d0745be403"/>
      <w:bookmarkEnd w:id="25"/>
      <w:r>
        <w:rPr>
          <w:rFonts w:ascii="Times New Roman;Times;serif" w:hAnsi="Times New Roman;Times;serif"/>
          <w:b/>
          <w:sz w:val="20"/>
        </w:rPr>
        <w:t>VISKASE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913" w:type="dxa"/>
        <w:jc w:val="left"/>
        <w:tblInd w:w="0" w:type="dxa"/>
        <w:tblLayout w:type="fixed"/>
        <w:tblCellMar>
          <w:top w:w="0" w:type="dxa"/>
          <w:left w:w="0" w:type="dxa"/>
          <w:bottom w:w="0" w:type="dxa"/>
          <w:right w:w="0" w:type="dxa"/>
        </w:tblCellMar>
      </w:tblPr>
      <w:tblGrid>
        <w:gridCol w:w="976"/>
        <w:gridCol w:w="736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175260"/>
                      <wp:effectExtent l="0" t="0" r="0" b="0"/>
                      <wp:wrapNone/>
                      <wp:docPr id="1" name="Frame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center"/>
              <w:rPr/>
            </w:pPr>
            <w:hyperlink w:anchor="PARTIFINANCIALINFORMATION_56545">
              <w:r>
                <w:rPr>
                  <w:rStyle w:val="InternetLink"/>
                  <w:rFonts w:ascii="Times New Roman;Times;serif" w:hAnsi="Times New Roman;Times;serif"/>
                  <w:b/>
                  <w:i w:val="false"/>
                  <w:caps w:val="false"/>
                  <w:smallCaps w:val="false"/>
                  <w:sz w:val="20"/>
                </w:rPr>
                <w:t>PART I - FINANCIAL INFORMATION</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w:t>
            </w:r>
          </w:p>
        </w:tc>
      </w:tr>
      <w:tr>
        <w:trPr/>
        <w:tc>
          <w:tcPr>
            <w:tcW w:w="976" w:type="dxa"/>
            <w:tcBorders/>
            <w:vAlign w:val="center"/>
          </w:tcPr>
          <w:p>
            <w:pPr>
              <w:pStyle w:val="TableContents"/>
              <w:bidi w:val="0"/>
              <w:spacing w:before="0" w:after="0"/>
              <w:ind w:left="0" w:right="0" w:hanging="0"/>
              <w:jc w:val="left"/>
              <w:rPr/>
            </w:pPr>
            <w:hyperlink w:anchor="Item1FinancialStatements_36469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364692">
              <w:r>
                <w:rPr>
                  <w:rStyle w:val="InternetLink"/>
                  <w:rFonts w:ascii="Times New Roman;Times;serif" w:hAnsi="Times New Roman;Times;serif"/>
                  <w:b w:val="false"/>
                  <w:i w:val="false"/>
                  <w:caps w:val="false"/>
                  <w:smallCaps w:val="false"/>
                  <w:sz w:val="20"/>
                </w:rPr>
                <w:t>Financial Statements</w:t>
              </w:r>
            </w:hyperlink>
            <w:hyperlink w:anchor="Item1FinancialStatements_364692">
              <w:r>
                <w:rPr>
                  <w:rStyle w:val="InternetLink"/>
                  <w:rFonts w:ascii="Times New Roman;Times;serif" w:hAnsi="Times New Roman;Times;serif"/>
                  <w:caps w:val="false"/>
                  <w:smallCaps w:val="false"/>
                  <w:sz w:val="20"/>
                </w:rPr>
                <w:t xml:space="preserve"> </w:t>
              </w:r>
            </w:hyperlink>
            <w:hyperlink w:anchor="Item1FinancialStatements_364692">
              <w:r>
                <w:rPr>
                  <w:rStyle w:val="InternetLink"/>
                  <w:rFonts w:ascii="Times New Roman;Times;serif" w:hAnsi="Times New Roman;Times;serif"/>
                  <w:b w:val="false"/>
                  <w:i w:val="false"/>
                  <w:caps w:val="false"/>
                  <w:smallCaps w:val="false"/>
                  <w:sz w:val="20"/>
                </w:rPr>
                <w:t>(Unaudited)</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7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76" w:type="dxa"/>
            <w:tcBorders/>
            <w:vAlign w:val="center"/>
          </w:tcPr>
          <w:p>
            <w:pPr>
              <w:pStyle w:val="TableContents"/>
              <w:bidi w:val="0"/>
              <w:spacing w:before="0" w:after="0"/>
              <w:ind w:left="0" w:right="0" w:hanging="0"/>
              <w:jc w:val="left"/>
              <w:rPr/>
            </w:pPr>
            <w:hyperlink w:anchor="_Item_3._Quantitative">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76" w:type="dxa"/>
            <w:tcBorders/>
            <w:shd w:fill="CCEEFF" w:val="clear"/>
            <w:vAlign w:val="center"/>
          </w:tcPr>
          <w:p>
            <w:pPr>
              <w:pStyle w:val="TableContents"/>
              <w:bidi w:val="0"/>
              <w:spacing w:before="0" w:after="0"/>
              <w:ind w:left="0" w:right="0" w:hanging="0"/>
              <w:jc w:val="left"/>
              <w:rPr/>
            </w:pPr>
            <w:hyperlink w:anchor="Item4ControlsandProcedures_717811">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ControlsandProcedures_717811">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center"/>
              <w:rPr/>
            </w:pPr>
            <w:hyperlink w:anchor="PartIIOTHERINFORMATION_456319">
              <w:r>
                <w:rPr>
                  <w:rStyle w:val="InternetLink"/>
                  <w:rFonts w:ascii="Times New Roman;Times;serif" w:hAnsi="Times New Roman;Times;serif"/>
                  <w:b/>
                  <w:i w:val="false"/>
                  <w:caps w:val="false"/>
                  <w:smallCaps w:val="false"/>
                  <w:sz w:val="20"/>
                </w:rPr>
                <w:t>PART II – 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41</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LegalProceedings_63089">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LegalProceedings_63089">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hyperlink w:anchor="Item1ARiskFactors_9879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8797">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7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3DefaultsUponSeniorSecurities_26235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262352">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76" w:type="dxa"/>
            <w:tcBorders/>
            <w:shd w:fill="CCEEFF" w:val="clear"/>
            <w:vAlign w:val="center"/>
          </w:tcPr>
          <w:p>
            <w:pPr>
              <w:pStyle w:val="TableContents"/>
              <w:bidi w:val="0"/>
              <w:spacing w:before="0" w:after="0"/>
              <w:ind w:left="0" w:right="0" w:hanging="0"/>
              <w:jc w:val="left"/>
              <w:rPr/>
            </w:pPr>
            <w:hyperlink w:anchor="Item4MineSafetyDisclosures_206088">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MineSafetyDisclosures_206088">
              <w:r>
                <w:rPr>
                  <w:rStyle w:val="InternetLink"/>
                  <w:rFonts w:ascii="Times New Roman;Times;serif" w:hAnsi="Times New Roman;Times;serif"/>
                  <w:b w:val="false"/>
                  <w:i w:val="false"/>
                  <w:caps w:val="false"/>
                  <w:smallCaps w:val="false"/>
                  <w:sz w:val="20"/>
                </w:rPr>
                <w:t>Mine Safety Disclosures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5OtherInformation_78212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782120">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76" w:type="dxa"/>
            <w:tcBorders/>
            <w:shd w:fill="CCEEFF" w:val="clear"/>
            <w:vAlign w:val="center"/>
          </w:tcPr>
          <w:p>
            <w:pPr>
              <w:pStyle w:val="TableContents"/>
              <w:bidi w:val="0"/>
              <w:spacing w:before="0" w:after="0"/>
              <w:ind w:left="0" w:right="0" w:hanging="0"/>
              <w:jc w:val="left"/>
              <w:rPr/>
            </w:pPr>
            <w:hyperlink w:anchor="Item6Exhibits_687173">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left"/>
              <w:rPr/>
            </w:pPr>
            <w:hyperlink w:anchor="Item6Exhibits_68717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SIGNATURES_221144">
              <w:r>
                <w:rPr>
                  <w:rStyle w:val="InternetLink"/>
                  <w:rFonts w:ascii="Times New Roman;Times;serif" w:hAnsi="Times New Roman;Times;serif"/>
                  <w:b w:val="false"/>
                  <w:i w:val="false"/>
                  <w:caps w:val="false"/>
                  <w:smallCaps w:val="false"/>
                  <w:sz w:val="20"/>
                </w:rPr>
                <w:t>Signatures</w:t>
              </w:r>
            </w:hyperlink>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7" w:name="PARTIFINANCIALINFORMATION_56545"/>
      <w:bookmarkStart w:id="28" w:name="_5fc8dcd5_c551_4b17_93a3_cd0bb1b43395"/>
      <w:bookmarkEnd w:id="27"/>
      <w:bookmarkEnd w:id="28"/>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29" w:name="Item1FinancialStatements_364692"/>
      <w:bookmarkEnd w:id="29"/>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VISKASE HOLDINGS, INC. AND SUBSIDIARIES</w:t>
      </w:r>
    </w:p>
    <w:p>
      <w:pPr>
        <w:pStyle w:val="TextBody"/>
        <w:bidi w:val="0"/>
        <w:spacing w:before="0" w:after="0"/>
        <w:ind w:left="0" w:right="0" w:hanging="0"/>
        <w:jc w:val="center"/>
        <w:rPr>
          <w:rFonts w:ascii="Times New Roman;Times;serif" w:hAnsi="Times New Roman;Times;serif"/>
          <w:b/>
          <w:sz w:val="20"/>
        </w:rPr>
      </w:pPr>
      <w:bookmarkStart w:id="30" w:name="CONDENSEDCONSOLIDATEDBALANCESHEETS_71972"/>
      <w:bookmarkEnd w:id="3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Number of Shares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 w:name="Tc_PEGuJW18pUCsNsdqUy636w_49_5"/>
      <w:bookmarkStart w:id="32" w:name="Tc_Eft0pYMvu0qvIcgVVZXg2Q_49_2"/>
      <w:bookmarkStart w:id="33" w:name="Tc_vljuUBBCS0K0v9bZnxOJdQ_49_0"/>
      <w:bookmarkStart w:id="34" w:name="Tc_Ts2sjqAefE2IU5b4BjSOOQ_48_0"/>
      <w:bookmarkStart w:id="35" w:name="Tc_zZtUjoyzdkWb4zX_SMYp6g_47_0"/>
      <w:bookmarkStart w:id="36" w:name="Tc_d7wVLK4pTEOUZzKpm88D1w_46_0"/>
      <w:bookmarkStart w:id="37" w:name="Tc_THgGkyQofkOdHD0NxYIP8A_45_0"/>
      <w:bookmarkStart w:id="38" w:name="Tc_dIakuWL5VEGyEgiRZ7N0DQ_44_0"/>
      <w:bookmarkStart w:id="39" w:name="Tc_wpw1nVufFkKGV-zEW2PmeA_43_0"/>
      <w:bookmarkStart w:id="40" w:name="Tc_CcWTV5wIFEOHgLjWdxxC8g_42_0"/>
      <w:bookmarkStart w:id="41" w:name="Tc_PTueMxh1IU63-dGtXitlWQ_41_0"/>
      <w:bookmarkStart w:id="42" w:name="Tc_mdQ7SuAfbkCHBRmbwQEYxA_39_6"/>
      <w:bookmarkStart w:id="43" w:name="Tc_sxpum5LXJ0qcujFwrLoFBg_39_0"/>
      <w:bookmarkStart w:id="44" w:name="Tc_NLTdsfe1L02RaqxJRB09Vw_38_0"/>
      <w:bookmarkStart w:id="45" w:name="Tc_fg9bVpu7UUOleu4bs5_aUw_36_0"/>
      <w:bookmarkStart w:id="46" w:name="Tc_veMTqY_Wp0u4qqzmynlnZw_35_0"/>
      <w:bookmarkStart w:id="47" w:name="Tc_sV-akOKFokSjsve-yciLVg_34_0"/>
      <w:bookmarkStart w:id="48" w:name="Tc_OpGnZXHv20W7zcWg-QVdaA_33_0"/>
      <w:bookmarkStart w:id="49" w:name="Tc_ANItg1mIMUa2zTuO4LJbQQ_32_6"/>
      <w:bookmarkStart w:id="50" w:name="Tc_oBz8oXcEXUaAaTCjV_Uh8Q_32_0"/>
      <w:bookmarkStart w:id="51" w:name="Tc_WtzyXlp2IESYzMbN2fvXdQ_30_0"/>
      <w:bookmarkStart w:id="52" w:name="Tc_kPmhoVyp7EGhHuw7fRPNFQ_29_0"/>
      <w:bookmarkStart w:id="53" w:name="Tc_jnycQRmo9kS6GHxxUbDXhA_28_0"/>
      <w:bookmarkStart w:id="54" w:name="Tc_08qe0bsEfE2WEm7JajBajg_27_0"/>
      <w:bookmarkStart w:id="55" w:name="Tc_Px_KTqKp1keaH-qdNpiclA_26_5"/>
      <w:bookmarkStart w:id="56" w:name="Tc__rpIIkPuO0a-B8brmIaaCA_26_2"/>
      <w:bookmarkStart w:id="57" w:name="Tc_y_BU1fA1GkyXwgYV6Izc1Q_26_0"/>
      <w:bookmarkStart w:id="58" w:name="Tc_8pnURpp5UUySbl-U-EF8tg_25_0"/>
      <w:bookmarkStart w:id="59" w:name="Tc_XC4nMzIA_E681vuRoNUGbw_24_0"/>
      <w:bookmarkStart w:id="60" w:name="Tc_feVF_UbLb0CkhSDaUzk9jQ_22_5"/>
      <w:bookmarkStart w:id="61" w:name="Tc_vMaXGIRXB0eKL02hLv1F4Q_22_2"/>
      <w:bookmarkStart w:id="62" w:name="Tc_RFXq5bqyxkuQbZVZEMdczA_22_0"/>
      <w:bookmarkStart w:id="63" w:name="Tc_HEpsGGuBBUSaRVcOR6bcjA_21_0"/>
      <w:bookmarkStart w:id="64" w:name="Tc_rKvN97wd40aJZHPElgDkzg_20_0"/>
      <w:bookmarkStart w:id="65" w:name="Tc_GyMUsu9At0OeHe2Nd5Bjug_19_0"/>
      <w:bookmarkStart w:id="66" w:name="Tc_o-DdK0O-fkyUkcmGydqdMw_18_0"/>
      <w:bookmarkStart w:id="67" w:name="Tc_tY0WzOG68UiVM3n4x24wug_17_0"/>
      <w:bookmarkStart w:id="68" w:name="Tc_oJASWVuef0mrGvDtJm5rTg_15_0"/>
      <w:bookmarkStart w:id="69" w:name="Tc_2uPnzdQoX0C5HVI8xTfz8A_14_0"/>
      <w:bookmarkStart w:id="70" w:name="Tc_iLKZbT0jlUaSqvcfMsjicg_13_0"/>
      <w:bookmarkStart w:id="71" w:name="Tc_whNAJCOiJ0Gv2Pft4e9I_g_11_0"/>
      <w:bookmarkStart w:id="72" w:name="Tc_78aVVruL_kGXEstqwtjqVQ_10_0"/>
      <w:bookmarkStart w:id="73" w:name="Tc_qeGCMBV-X0KMb1HDJggC7w_9_0"/>
      <w:bookmarkStart w:id="74" w:name="Tc_Z6qAILkSakiTmqF4NhdRRA_8_0"/>
      <w:bookmarkStart w:id="75" w:name="Tc_RTfW8sUvSkaQEorY-9ePuQ_7_5"/>
      <w:bookmarkStart w:id="76" w:name="Tc_VwJ63pJ_gUCfSsrCfvaF6Q_7_2"/>
      <w:bookmarkStart w:id="77" w:name="Tc_p5cXLZBgl0mJHhhgtlLykg_7_0"/>
      <w:bookmarkStart w:id="78" w:name="Tc_4CoJwqLxG0iOYi55dzm01g_6_0"/>
      <w:bookmarkStart w:id="79" w:name="Tc_uqWE3yCWlUCG9yzU1f21fw_4_0"/>
      <w:bookmarkStart w:id="80" w:name="Tc_to31sGHg2EyTxf-QrMmP0g_3_5"/>
      <w:bookmarkStart w:id="81" w:name="Tc_UmHO81rKeE65qFEOVWJkOg_3_2"/>
      <w:bookmarkStart w:id="82" w:name="Tc_m2Smy-WFskOIT5QmR_xfiw_2_5"/>
      <w:bookmarkStart w:id="83" w:name="Tc_7dRDo8DAcUWV8h_1Ciz6TQ_2_2"/>
      <w:bookmarkStart w:id="84" w:name="Tc_eW8FwT_5bUqPIDpurvHGJA_1_5"/>
      <w:bookmarkStart w:id="85" w:name="Tc_8JPaydjeH0qxUZPItihHzw_1_2"/>
      <w:bookmarkStart w:id="86" w:name="_db7e407f_ba98_4899_a346_f6cfaca963fd"/>
      <w:bookmarkStart w:id="87" w:name="Tc_PEGuJW18pUCsNsdqUy636w_49_5"/>
      <w:bookmarkStart w:id="88" w:name="Tc_Eft0pYMvu0qvIcgVVZXg2Q_49_2"/>
      <w:bookmarkStart w:id="89" w:name="Tc_vljuUBBCS0K0v9bZnxOJdQ_49_0"/>
      <w:bookmarkStart w:id="90" w:name="Tc_Ts2sjqAefE2IU5b4BjSOOQ_48_0"/>
      <w:bookmarkStart w:id="91" w:name="Tc_zZtUjoyzdkWb4zX_SMYp6g_47_0"/>
      <w:bookmarkStart w:id="92" w:name="Tc_d7wVLK4pTEOUZzKpm88D1w_46_0"/>
      <w:bookmarkStart w:id="93" w:name="Tc_THgGkyQofkOdHD0NxYIP8A_45_0"/>
      <w:bookmarkStart w:id="94" w:name="Tc_dIakuWL5VEGyEgiRZ7N0DQ_44_0"/>
      <w:bookmarkStart w:id="95" w:name="Tc_wpw1nVufFkKGV-zEW2PmeA_43_0"/>
      <w:bookmarkStart w:id="96" w:name="Tc_CcWTV5wIFEOHgLjWdxxC8g_42_0"/>
      <w:bookmarkStart w:id="97" w:name="Tc_PTueMxh1IU63-dGtXitlWQ_41_0"/>
      <w:bookmarkStart w:id="98" w:name="Tc_mdQ7SuAfbkCHBRmbwQEYxA_39_6"/>
      <w:bookmarkStart w:id="99" w:name="Tc_sxpum5LXJ0qcujFwrLoFBg_39_0"/>
      <w:bookmarkStart w:id="100" w:name="Tc_NLTdsfe1L02RaqxJRB09Vw_38_0"/>
      <w:bookmarkStart w:id="101" w:name="Tc_fg9bVpu7UUOleu4bs5_aUw_36_0"/>
      <w:bookmarkStart w:id="102" w:name="Tc_veMTqY_Wp0u4qqzmynlnZw_35_0"/>
      <w:bookmarkStart w:id="103" w:name="Tc_sV-akOKFokSjsve-yciLVg_34_0"/>
      <w:bookmarkStart w:id="104" w:name="Tc_OpGnZXHv20W7zcWg-QVdaA_33_0"/>
      <w:bookmarkStart w:id="105" w:name="Tc_ANItg1mIMUa2zTuO4LJbQQ_32_6"/>
      <w:bookmarkStart w:id="106" w:name="Tc_oBz8oXcEXUaAaTCjV_Uh8Q_32_0"/>
      <w:bookmarkStart w:id="107" w:name="Tc_WtzyXlp2IESYzMbN2fvXdQ_30_0"/>
      <w:bookmarkStart w:id="108" w:name="Tc_kPmhoVyp7EGhHuw7fRPNFQ_29_0"/>
      <w:bookmarkStart w:id="109" w:name="Tc_jnycQRmo9kS6GHxxUbDXhA_28_0"/>
      <w:bookmarkStart w:id="110" w:name="Tc_08qe0bsEfE2WEm7JajBajg_27_0"/>
      <w:bookmarkStart w:id="111" w:name="Tc_Px_KTqKp1keaH-qdNpiclA_26_5"/>
      <w:bookmarkStart w:id="112" w:name="Tc__rpIIkPuO0a-B8brmIaaCA_26_2"/>
      <w:bookmarkStart w:id="113" w:name="Tc_y_BU1fA1GkyXwgYV6Izc1Q_26_0"/>
      <w:bookmarkStart w:id="114" w:name="Tc_8pnURpp5UUySbl-U-EF8tg_25_0"/>
      <w:bookmarkStart w:id="115" w:name="Tc_XC4nMzIA_E681vuRoNUGbw_24_0"/>
      <w:bookmarkStart w:id="116" w:name="Tc_feVF_UbLb0CkhSDaUzk9jQ_22_5"/>
      <w:bookmarkStart w:id="117" w:name="Tc_vMaXGIRXB0eKL02hLv1F4Q_22_2"/>
      <w:bookmarkStart w:id="118" w:name="Tc_RFXq5bqyxkuQbZVZEMdczA_22_0"/>
      <w:bookmarkStart w:id="119" w:name="Tc_HEpsGGuBBUSaRVcOR6bcjA_21_0"/>
      <w:bookmarkStart w:id="120" w:name="Tc_rKvN97wd40aJZHPElgDkzg_20_0"/>
      <w:bookmarkStart w:id="121" w:name="Tc_GyMUsu9At0OeHe2Nd5Bjug_19_0"/>
      <w:bookmarkStart w:id="122" w:name="Tc_o-DdK0O-fkyUkcmGydqdMw_18_0"/>
      <w:bookmarkStart w:id="123" w:name="Tc_tY0WzOG68UiVM3n4x24wug_17_0"/>
      <w:bookmarkStart w:id="124" w:name="Tc_oJASWVuef0mrGvDtJm5rTg_15_0"/>
      <w:bookmarkStart w:id="125" w:name="Tc_2uPnzdQoX0C5HVI8xTfz8A_14_0"/>
      <w:bookmarkStart w:id="126" w:name="Tc_iLKZbT0jlUaSqvcfMsjicg_13_0"/>
      <w:bookmarkStart w:id="127" w:name="Tc_whNAJCOiJ0Gv2Pft4e9I_g_11_0"/>
      <w:bookmarkStart w:id="128" w:name="Tc_78aVVruL_kGXEstqwtjqVQ_10_0"/>
      <w:bookmarkStart w:id="129" w:name="Tc_qeGCMBV-X0KMb1HDJggC7w_9_0"/>
      <w:bookmarkStart w:id="130" w:name="Tc_Z6qAILkSakiTmqF4NhdRRA_8_0"/>
      <w:bookmarkStart w:id="131" w:name="Tc_RTfW8sUvSkaQEorY-9ePuQ_7_5"/>
      <w:bookmarkStart w:id="132" w:name="Tc_VwJ63pJ_gUCfSsrCfvaF6Q_7_2"/>
      <w:bookmarkStart w:id="133" w:name="Tc_p5cXLZBgl0mJHhhgtlLykg_7_0"/>
      <w:bookmarkStart w:id="134" w:name="Tc_4CoJwqLxG0iOYi55dzm01g_6_0"/>
      <w:bookmarkStart w:id="135" w:name="Tc_uqWE3yCWlUCG9yzU1f21fw_4_0"/>
      <w:bookmarkStart w:id="136" w:name="Tc_to31sGHg2EyTxf-QrMmP0g_3_5"/>
      <w:bookmarkStart w:id="137" w:name="Tc_UmHO81rKeE65qFEOVWJkOg_3_2"/>
      <w:bookmarkStart w:id="138" w:name="Tc_m2Smy-WFskOIT5QmR_xfiw_2_5"/>
      <w:bookmarkStart w:id="139" w:name="Tc_7dRDo8DAcUWV8h_1Ciz6TQ_2_2"/>
      <w:bookmarkStart w:id="140" w:name="Tc_eW8FwT_5bUqPIDpurvHGJA_1_5"/>
      <w:bookmarkStart w:id="141" w:name="Tc_8JPaydjeH0qxUZPItihHzw_1_2"/>
      <w:bookmarkStart w:id="142" w:name="_db7e407f_ba98_4899_a346_f6cfaca963fd"/>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W w:w="10205" w:type="dxa"/>
        <w:jc w:val="left"/>
        <w:tblInd w:w="0" w:type="dxa"/>
        <w:tblLayout w:type="fixed"/>
        <w:tblCellMar>
          <w:top w:w="0" w:type="dxa"/>
          <w:left w:w="0" w:type="dxa"/>
          <w:bottom w:w="0" w:type="dxa"/>
          <w:right w:w="0" w:type="dxa"/>
        </w:tblCellMar>
      </w:tblPr>
      <w:tblGrid>
        <w:gridCol w:w="7417"/>
        <w:gridCol w:w="346"/>
        <w:gridCol w:w="196"/>
        <w:gridCol w:w="772"/>
        <w:gridCol w:w="346"/>
        <w:gridCol w:w="222"/>
        <w:gridCol w:w="906"/>
      </w:tblGrid>
      <w:tr>
        <w:trPr/>
        <w:tc>
          <w:tcPr>
            <w:tcW w:w="7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709795" cy="175260"/>
                      <wp:effectExtent l="0" t="0" r="0" b="0"/>
                      <wp:wrapNone/>
                      <wp:docPr id="3" name="Frame3"/>
                      <a:graphic xmlns:a="http://schemas.openxmlformats.org/drawingml/2006/main">
                        <a:graphicData uri="http://schemas.microsoft.com/office/word/2010/wordprocessingShape">
                          <wps:wsp>
                            <wps:cNvSpPr txBox="1"/>
                            <wps:spPr>
                              <a:xfrm>
                                <a:off x="0" y="0"/>
                                <a:ext cx="4709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0220" cy="175260"/>
                      <wp:effectExtent l="0" t="0" r="0" b="0"/>
                      <wp:wrapNone/>
                      <wp:docPr id="6" name="Frame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0970" cy="175260"/>
                      <wp:effectExtent l="0" t="0" r="0" b="0"/>
                      <wp:wrapNone/>
                      <wp:docPr id="8" name="Frame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5310" cy="175260"/>
                      <wp:effectExtent l="0" t="0" r="0" b="0"/>
                      <wp:wrapNone/>
                      <wp:docPr id="9" name="Frame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9,217</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67,385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60,182</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105,296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96,755</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46,745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42,494</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227,337</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208,648</w:t>
            </w:r>
          </w:p>
        </w:tc>
      </w:tr>
      <w:tr>
        <w:trPr/>
        <w:tc>
          <w:tcPr>
            <w:tcW w:w="74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493,194</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482,326</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(345,541)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(341,022)</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147,653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141,304</w:t>
            </w:r>
          </w:p>
        </w:tc>
      </w:tr>
      <w:tr>
        <w:trPr/>
        <w:tc>
          <w:tcPr>
            <w:tcW w:w="74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18,094</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19,946</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9,842</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13,401</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3,131</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5,909</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5,870</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424,483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402,142</w: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LIABILITIES, MEZZANINE EQUITY,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54,468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141,774</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39,424</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44,342</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25,495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24,282</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4,243</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4,119</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123,630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214,517</w: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net of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74,929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22,609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23,597</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16,200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18,111</w:t>
            </w:r>
          </w:p>
        </w:tc>
      </w:tr>
      <w:tr>
        <w:trPr/>
        <w:tc>
          <w:tcPr>
            <w:tcW w:w="74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Mezzanine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C preferred stock - $0.01 par value, 3,000,000 shares authorized, 384 and 0 issued and outstanding (liquidation value $1,129 and $0 per share)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$0.01 par value; 170,000,000 shares authorized, 14,371,173 shares issued and 14,331,620 shares outstanding at June 30, 2026 and 170,000,000 shares authorized 6,651,652 shares issued and 6,612,099 shares 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Paid 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267,959</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213,019</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(23,632)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(11,881)</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(57,670)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(55,361)</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Viskase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186,800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145,843</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Deficit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(1,587)</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w:t>
            </w:r>
          </w:p>
        </w:tc>
      </w:tr>
      <w:tr>
        <w:trPr/>
        <w:tc>
          <w:tcPr>
            <w:tcW w:w="74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185,213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144,360</w:t>
            </w:r>
          </w:p>
        </w:tc>
      </w:tr>
      <w:tr>
        <w:trPr/>
        <w:tc>
          <w:tcPr>
            <w:tcW w:w="741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Mezzanine Equity,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424,483</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402,142</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3" w:name="_2252ae5e_5330_4bf1_9e18_6d607af3e2ff"/>
      <w:bookmarkEnd w:id="143"/>
      <w:r>
        <w:rPr>
          <w:rFonts w:ascii="Times New Roman;Times;serif" w:hAnsi="Times New Roman;Times;serif"/>
          <w:b/>
          <w:sz w:val="20"/>
        </w:rPr>
        <w:t>VISKASE HOLDINGS,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Number of Shares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4" w:name="Tc_GTyqYqL5mUa55vLfpg1bAQ_33_11"/>
      <w:bookmarkStart w:id="145" w:name="Tc_dbTdFODXJES-sTQQnbcejQ_33_8"/>
      <w:bookmarkStart w:id="146" w:name="Tc_hg730utnuUSqEgB1A4pkLQ_33_5"/>
      <w:bookmarkStart w:id="147" w:name="Tc_lZIdmurljkuhKmB5kW2RxA_33_2"/>
      <w:bookmarkStart w:id="148" w:name="Tc_G_tIyojq40qXKuc6TscI9w_33_0"/>
      <w:bookmarkStart w:id="149" w:name="Tc_FLW11UtnbkyJTxhZSTihEQ_32_0"/>
      <w:bookmarkStart w:id="150" w:name="Tc_W0r7qBzoE02lUCQyLEUKXA_31_0"/>
      <w:bookmarkStart w:id="151" w:name="Tc_F8njUiq_KESv4Pep4vJD6w_29_0"/>
      <w:bookmarkStart w:id="152" w:name="Tc_xBRGHF7NDkWeoU_XpPoEqw_28_0"/>
      <w:bookmarkStart w:id="153" w:name="Tc_OMkRwny7U06Je41bSBYPCg_26_11"/>
      <w:bookmarkStart w:id="154" w:name="Tc_A4eybcc7w0e6ZNirl86I_g_26_8"/>
      <w:bookmarkStart w:id="155" w:name="Tc_OsPUwvcHpE-9mt3Al7VrjQ_26_5"/>
      <w:bookmarkStart w:id="156" w:name="Tc_cKmf4AQ0bkm0iGu6S65LDg_26_2"/>
      <w:bookmarkStart w:id="157" w:name="Tc_C7z1ZZbapUSvGXKpgF6XZg_26_0"/>
      <w:bookmarkStart w:id="158" w:name="Tc_N2QiFEwzmkmrBVMmSAOR1A_24_11"/>
      <w:bookmarkStart w:id="159" w:name="Tc_SBKiNTlo0k6BEjahXIEasA_24_8"/>
      <w:bookmarkStart w:id="160" w:name="Tc_kJp2Ap1Nm0K2aLatvMXn4A_24_5"/>
      <w:bookmarkStart w:id="161" w:name="Tc_cdOYBYS4mkuiXWjAu37i5g_24_2"/>
      <w:bookmarkStart w:id="162" w:name="Tc_iC0SdILMg0uSF9VpXKQKVQ_24_0"/>
      <w:bookmarkStart w:id="163" w:name="Tc_K5vxQ_W7hkididlSDEvmZw_22_0"/>
      <w:bookmarkStart w:id="164" w:name="Tc_zfNTyAsRBESMfSD_F9q5OA_20_0"/>
      <w:bookmarkStart w:id="165" w:name="Tc_JbZxO_29-0iRFgwQjX8Wnw_19_0"/>
      <w:bookmarkStart w:id="166" w:name="Tc_1qEfOH3D80u9xL479MduqA_17_0"/>
      <w:bookmarkStart w:id="167" w:name="Tc_FJQsJLDW8kGH_1tAOdj2aQ_16_0"/>
      <w:bookmarkStart w:id="168" w:name="Tc_xZE2HawdlEWT8M2c81PQyw_15_0"/>
      <w:bookmarkStart w:id="169" w:name="Tc_2fwLdXdKUkOT3tNbsqUSyg_13_0"/>
      <w:bookmarkStart w:id="170" w:name="Tc_HaUPuyAIlEG6BIZsdyEFgw_12_6"/>
      <w:bookmarkStart w:id="171" w:name="Tc_shg57W7o20Gv4ZcmUyoOCw_12_0"/>
      <w:bookmarkStart w:id="172" w:name="Tc_2ThuNCOm4UORLtq9DlkW3g_11_0"/>
      <w:bookmarkStart w:id="173" w:name="Tc_BXXP8xI-JEGhacrh067ffA_10_0"/>
      <w:bookmarkStart w:id="174" w:name="Tc_8bR1oMhevkakY26L6UG4mw_8_0"/>
      <w:bookmarkStart w:id="175" w:name="Tc_4Mn9Pesf4Eavff9uXZS9ew_6_0"/>
      <w:bookmarkStart w:id="176" w:name="Tc_fpvpaVyyNEq_jAwNOlc39A_5_11"/>
      <w:bookmarkStart w:id="177" w:name="Tc_RYRWjF6m_km4UdB7lzDe2w_5_8"/>
      <w:bookmarkStart w:id="178" w:name="Tc_BuGGBm3TgUCUnsGVgD_3Iw_5_5"/>
      <w:bookmarkStart w:id="179" w:name="Tc_Y9Tm8JyprEmhPsFCFNeD2w_5_2"/>
      <w:bookmarkStart w:id="180" w:name="Tc_EcHzDIfnMUKOwJW5wbdqbQ_5_0"/>
      <w:bookmarkStart w:id="181" w:name="Tc_uRyNyFOj0EmZqK7wMGwbYQ_3_11"/>
      <w:bookmarkStart w:id="182" w:name="Tc_W65_veeiA0elqh0rngPj8A_3_8"/>
      <w:bookmarkStart w:id="183" w:name="Tc_2Z_OCIiKC06NwMv7LZA0WA_3_5"/>
      <w:bookmarkStart w:id="184" w:name="Tc_vreIaVQEEUKJM8NEqOeHAg_3_2"/>
      <w:bookmarkStart w:id="185" w:name="Tc_diV0mx8bA0uq5JR0KpoGIQ_2_11"/>
      <w:bookmarkStart w:id="186" w:name="Tc_NcU0MDnFTkaUi5U_1LBXZA_2_8"/>
      <w:bookmarkStart w:id="187" w:name="Tc_JAcd-dCQNECEE5NHDKK4WA_2_5"/>
      <w:bookmarkStart w:id="188" w:name="Tc_Nmka8q5K3Eyyz3_dd4clAg_2_2"/>
      <w:bookmarkStart w:id="189" w:name="Tc_bQwDE7dE7E6VPp1UKBkKSw_1_11"/>
      <w:bookmarkStart w:id="190" w:name="Tc_AsZZiEqzC0a4q76qVSq-Pg_1_8"/>
      <w:bookmarkStart w:id="191" w:name="Tc_ZoPUQ2AJrUSfEOLiGDw_hQ_1_5"/>
      <w:bookmarkStart w:id="192" w:name="Tc_WozW23y4DUawQh53PGYXVQ_1_2"/>
      <w:bookmarkStart w:id="193" w:name="_043bf1ce_9087_4db1_88a6_09e8745f720b"/>
      <w:bookmarkStart w:id="194" w:name="_da401e0b_42aa_4fc2_b64e_61d6bdf07222"/>
      <w:bookmarkStart w:id="195" w:name="Tc_GTyqYqL5mUa55vLfpg1bAQ_33_11"/>
      <w:bookmarkStart w:id="196" w:name="Tc_dbTdFODXJES-sTQQnbcejQ_33_8"/>
      <w:bookmarkStart w:id="197" w:name="Tc_hg730utnuUSqEgB1A4pkLQ_33_5"/>
      <w:bookmarkStart w:id="198" w:name="Tc_lZIdmurljkuhKmB5kW2RxA_33_2"/>
      <w:bookmarkStart w:id="199" w:name="Tc_G_tIyojq40qXKuc6TscI9w_33_0"/>
      <w:bookmarkStart w:id="200" w:name="Tc_FLW11UtnbkyJTxhZSTihEQ_32_0"/>
      <w:bookmarkStart w:id="201" w:name="Tc_W0r7qBzoE02lUCQyLEUKXA_31_0"/>
      <w:bookmarkStart w:id="202" w:name="Tc_F8njUiq_KESv4Pep4vJD6w_29_0"/>
      <w:bookmarkStart w:id="203" w:name="Tc_xBRGHF7NDkWeoU_XpPoEqw_28_0"/>
      <w:bookmarkStart w:id="204" w:name="Tc_OMkRwny7U06Je41bSBYPCg_26_11"/>
      <w:bookmarkStart w:id="205" w:name="Tc_A4eybcc7w0e6ZNirl86I_g_26_8"/>
      <w:bookmarkStart w:id="206" w:name="Tc_OsPUwvcHpE-9mt3Al7VrjQ_26_5"/>
      <w:bookmarkStart w:id="207" w:name="Tc_cKmf4AQ0bkm0iGu6S65LDg_26_2"/>
      <w:bookmarkStart w:id="208" w:name="Tc_C7z1ZZbapUSvGXKpgF6XZg_26_0"/>
      <w:bookmarkStart w:id="209" w:name="Tc_N2QiFEwzmkmrBVMmSAOR1A_24_11"/>
      <w:bookmarkStart w:id="210" w:name="Tc_SBKiNTlo0k6BEjahXIEasA_24_8"/>
      <w:bookmarkStart w:id="211" w:name="Tc_kJp2Ap1Nm0K2aLatvMXn4A_24_5"/>
      <w:bookmarkStart w:id="212" w:name="Tc_cdOYBYS4mkuiXWjAu37i5g_24_2"/>
      <w:bookmarkStart w:id="213" w:name="Tc_iC0SdILMg0uSF9VpXKQKVQ_24_0"/>
      <w:bookmarkStart w:id="214" w:name="Tc_K5vxQ_W7hkididlSDEvmZw_22_0"/>
      <w:bookmarkStart w:id="215" w:name="Tc_zfNTyAsRBESMfSD_F9q5OA_20_0"/>
      <w:bookmarkStart w:id="216" w:name="Tc_JbZxO_29-0iRFgwQjX8Wnw_19_0"/>
      <w:bookmarkStart w:id="217" w:name="Tc_1qEfOH3D80u9xL479MduqA_17_0"/>
      <w:bookmarkStart w:id="218" w:name="Tc_FJQsJLDW8kGH_1tAOdj2aQ_16_0"/>
      <w:bookmarkStart w:id="219" w:name="Tc_xZE2HawdlEWT8M2c81PQyw_15_0"/>
      <w:bookmarkStart w:id="220" w:name="Tc_2fwLdXdKUkOT3tNbsqUSyg_13_0"/>
      <w:bookmarkStart w:id="221" w:name="Tc_HaUPuyAIlEG6BIZsdyEFgw_12_6"/>
      <w:bookmarkStart w:id="222" w:name="Tc_shg57W7o20Gv4ZcmUyoOCw_12_0"/>
      <w:bookmarkStart w:id="223" w:name="Tc_2ThuNCOm4UORLtq9DlkW3g_11_0"/>
      <w:bookmarkStart w:id="224" w:name="Tc_BXXP8xI-JEGhacrh067ffA_10_0"/>
      <w:bookmarkStart w:id="225" w:name="Tc_8bR1oMhevkakY26L6UG4mw_8_0"/>
      <w:bookmarkStart w:id="226" w:name="Tc_4Mn9Pesf4Eavff9uXZS9ew_6_0"/>
      <w:bookmarkStart w:id="227" w:name="Tc_fpvpaVyyNEq_jAwNOlc39A_5_11"/>
      <w:bookmarkStart w:id="228" w:name="Tc_RYRWjF6m_km4UdB7lzDe2w_5_8"/>
      <w:bookmarkStart w:id="229" w:name="Tc_BuGGBm3TgUCUnsGVgD_3Iw_5_5"/>
      <w:bookmarkStart w:id="230" w:name="Tc_Y9Tm8JyprEmhPsFCFNeD2w_5_2"/>
      <w:bookmarkStart w:id="231" w:name="Tc_EcHzDIfnMUKOwJW5wbdqbQ_5_0"/>
      <w:bookmarkStart w:id="232" w:name="Tc_uRyNyFOj0EmZqK7wMGwbYQ_3_11"/>
      <w:bookmarkStart w:id="233" w:name="Tc_W65_veeiA0elqh0rngPj8A_3_8"/>
      <w:bookmarkStart w:id="234" w:name="Tc_2Z_OCIiKC06NwMv7LZA0WA_3_5"/>
      <w:bookmarkStart w:id="235" w:name="Tc_vreIaVQEEUKJM8NEqOeHAg_3_2"/>
      <w:bookmarkStart w:id="236" w:name="Tc_diV0mx8bA0uq5JR0KpoGIQ_2_11"/>
      <w:bookmarkStart w:id="237" w:name="Tc_NcU0MDnFTkaUi5U_1LBXZA_2_8"/>
      <w:bookmarkStart w:id="238" w:name="Tc_JAcd-dCQNECEE5NHDKK4WA_2_5"/>
      <w:bookmarkStart w:id="239" w:name="Tc_Nmka8q5K3Eyyz3_dd4clAg_2_2"/>
      <w:bookmarkStart w:id="240" w:name="Tc_bQwDE7dE7E6VPp1UKBkKSw_1_11"/>
      <w:bookmarkStart w:id="241" w:name="Tc_AsZZiEqzC0a4q76qVSq-Pg_1_8"/>
      <w:bookmarkStart w:id="242" w:name="Tc_ZoPUQ2AJrUSfEOLiGDw_hQ_1_5"/>
      <w:bookmarkStart w:id="243" w:name="Tc_WozW23y4DUawQh53PGYXVQ_1_2"/>
      <w:bookmarkStart w:id="244" w:name="_043bf1ce_9087_4db1_88a6_09e8745f720b"/>
      <w:bookmarkStart w:id="245" w:name="_da401e0b_42aa_4fc2_b64e_61d6bdf07222"/>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W w:w="10205" w:type="dxa"/>
        <w:jc w:val="left"/>
        <w:tblInd w:w="0" w:type="dxa"/>
        <w:tblLayout w:type="fixed"/>
        <w:tblCellMar>
          <w:top w:w="0" w:type="dxa"/>
          <w:left w:w="0" w:type="dxa"/>
          <w:bottom w:w="0" w:type="dxa"/>
          <w:right w:w="0" w:type="dxa"/>
        </w:tblCellMar>
      </w:tblPr>
      <w:tblGrid>
        <w:gridCol w:w="3151"/>
        <w:gridCol w:w="346"/>
        <w:gridCol w:w="251"/>
        <w:gridCol w:w="1234"/>
        <w:gridCol w:w="346"/>
        <w:gridCol w:w="266"/>
        <w:gridCol w:w="1175"/>
        <w:gridCol w:w="346"/>
        <w:gridCol w:w="231"/>
        <w:gridCol w:w="1138"/>
        <w:gridCol w:w="346"/>
        <w:gridCol w:w="243"/>
        <w:gridCol w:w="1132"/>
      </w:tblGrid>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9385" cy="175260"/>
                      <wp:effectExtent l="0" t="0" r="0" b="0"/>
                      <wp:wrapNone/>
                      <wp:docPr id="11" name="Frame1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3590" cy="175260"/>
                      <wp:effectExtent l="0" t="0" r="0" b="0"/>
                      <wp:wrapNone/>
                      <wp:docPr id="12" name="Frame12"/>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8910" cy="175260"/>
                      <wp:effectExtent l="0" t="0" r="0" b="0"/>
                      <wp:wrapNone/>
                      <wp:docPr id="14" name="Frame1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46125" cy="175260"/>
                      <wp:effectExtent l="0" t="0" r="0" b="0"/>
                      <wp:wrapNone/>
                      <wp:docPr id="15" name="Frame15"/>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685" cy="175260"/>
                      <wp:effectExtent l="0" t="0" r="0" b="0"/>
                      <wp:wrapNone/>
                      <wp:docPr id="17" name="Frame1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2630" cy="175260"/>
                      <wp:effectExtent l="0" t="0" r="0" b="0"/>
                      <wp:wrapNone/>
                      <wp:docPr id="18" name="Frame18"/>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54305" cy="175260"/>
                      <wp:effectExtent l="0" t="0" r="0" b="0"/>
                      <wp:wrapNone/>
                      <wp:docPr id="20" name="Frame2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18820" cy="175260"/>
                      <wp:effectExtent l="0" t="0" r="0" b="0"/>
                      <wp:wrapNone/>
                      <wp:docPr id="21" name="Frame21"/>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3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3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97,279</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176,668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191,467</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79,033</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85,645</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156,570</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165,427</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11,098</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20,098</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26,040</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24,583</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expense</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(10,802)</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14,353</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12,941</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(20,258)</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(11,855)</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(33,852)</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Viskase Holdings, Inc</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(11,751)</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(33,831)</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14,331,620</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5,419,340</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11,149,115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5,273,964</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AMOUNTS: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6" w:name="_74bd9204_ac71_4ab5_a194_333200b1c5c8"/>
      <w:bookmarkEnd w:id="246"/>
      <w:r>
        <w:rPr>
          <w:rFonts w:ascii="Times New Roman;Times;serif" w:hAnsi="Times New Roman;Times;serif"/>
          <w:b/>
          <w:sz w:val="20"/>
        </w:rPr>
        <w:t>VISKASE HOLDINGS, INC. AND SUBSIDIARIES</w:t>
      </w:r>
    </w:p>
    <w:p>
      <w:pPr>
        <w:pStyle w:val="TextBody"/>
        <w:bidi w:val="0"/>
        <w:spacing w:before="0" w:after="0"/>
        <w:ind w:left="0" w:right="0" w:hanging="0"/>
        <w:jc w:val="center"/>
        <w:rPr>
          <w:rFonts w:ascii="Times New Roman;Times;serif" w:hAnsi="Times New Roman;Times;serif"/>
          <w:b/>
          <w:sz w:val="20"/>
        </w:rPr>
      </w:pPr>
      <w:bookmarkStart w:id="247" w:name="CONDENSEDCONSOLIDATEDSTATEMENTSOFCOMPREH"/>
      <w:bookmarkEnd w:id="247"/>
      <w:r>
        <w:rPr>
          <w:rFonts w:ascii="Times New Roman;Times;serif" w:hAnsi="Times New Roman;Times;serif"/>
          <w:b/>
          <w:sz w:val="20"/>
        </w:rPr>
        <w:t>CONDENSED CONSOLIDATED STATEMENTS OF COMPREHENSIVE (LOSS)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8" w:name="Tc_VqRDirxCM061IF2fCVZA1g_18_11"/>
      <w:bookmarkStart w:id="249" w:name="Tc_4owLffx67kKrtFDXWk9IJA_18_8"/>
      <w:bookmarkStart w:id="250" w:name="Tc_io05J28Fj0Kn12gvIL3rYA_18_5"/>
      <w:bookmarkStart w:id="251" w:name="Tc_ZZz6apI4skOMv-4IANfDMQ_18_2"/>
      <w:bookmarkStart w:id="252" w:name="Tc_P3-dX2Q_hESa-kN2zjyHFw_18_0"/>
      <w:bookmarkStart w:id="253" w:name="Tc_btZFXwqBSEyCa5RwLFQysg_16_0"/>
      <w:bookmarkStart w:id="254" w:name="Tc_hy2ffBKcsk2xsgFnpoYL4g_14_11"/>
      <w:bookmarkStart w:id="255" w:name="Tc_ax7AszGPE0iFjMG8OQ9Heg_14_8"/>
      <w:bookmarkStart w:id="256" w:name="Tc_Sa6kFZgwKE66g0DmOgIiIA_14_5"/>
      <w:bookmarkStart w:id="257" w:name="Tc_fFLHDNIKLUmIQddRwuLReQ_14_2"/>
      <w:bookmarkStart w:id="258" w:name="Tc_KMZ2p-DaAECKQyK-eLCtpw_14_0"/>
      <w:bookmarkStart w:id="259" w:name="Tc_p-Ln7e2tTU2S-iFHDNNgnA_12_0"/>
      <w:bookmarkStart w:id="260" w:name="Tc_cBePvYw6KES81KwQyAZ5dQ_10_0"/>
      <w:bookmarkStart w:id="261" w:name="Tc_FGSy-abo_0K-zptjPwG8ew_9_0"/>
      <w:bookmarkStart w:id="262" w:name="Tc_PNhMunfPLEGYPqPaSHtw1A_7_0"/>
      <w:bookmarkStart w:id="263" w:name="Tc_MJ4Oh6sps0WtIWA9lWB4Sw_5_11"/>
      <w:bookmarkStart w:id="264" w:name="Tc_wcm9PQtGu02xjXA8Hs4YdA_5_8"/>
      <w:bookmarkStart w:id="265" w:name="Tc_indErZxNkEiu6dF17oI2_w_5_5"/>
      <w:bookmarkStart w:id="266" w:name="Tc_jf7JpLalBUqQ0eSiF2LNoA_5_2"/>
      <w:bookmarkStart w:id="267" w:name="Tc_blBFwOv8ckW49k4ey9fZqQ_5_0"/>
      <w:bookmarkStart w:id="268" w:name="Tc_9VJ6z3Tid0KBGaRu6UPnCw_3_11"/>
      <w:bookmarkStart w:id="269" w:name="Tc_B_8b4TFLUUKvTmWu6tfcgw_3_8"/>
      <w:bookmarkStart w:id="270" w:name="Tc_Hzp_n_JOrEWGSqw3XarFSQ_3_5"/>
      <w:bookmarkStart w:id="271" w:name="Tc_v6mFsZ9xy0aCb4U-8R7mOw_3_2"/>
      <w:bookmarkStart w:id="272" w:name="Tc_l-V5OXl4MUSm1l6Z3q9BZA_2_11"/>
      <w:bookmarkStart w:id="273" w:name="Tc_tpBK4jtpikOqun-TEkC1NA_2_8"/>
      <w:bookmarkStart w:id="274" w:name="Tc_YhInz51pG0elUjD9I4xSMw_2_5"/>
      <w:bookmarkStart w:id="275" w:name="Tc_opwz7f-cZ0ewgzs4B82gSA_2_2"/>
      <w:bookmarkStart w:id="276" w:name="Tc_LvOuCaFRjkS8JKz-sPRnpA_1_11"/>
      <w:bookmarkStart w:id="277" w:name="Tc_SYI-PK4QO0ah37FBN5jxiw_1_8"/>
      <w:bookmarkStart w:id="278" w:name="Tc_NZgSLCzuGU-Xfr8YBVH1IQ_1_5"/>
      <w:bookmarkStart w:id="279" w:name="Tc_wCVKc9OAAEybuIUwDoqyOQ_1_2"/>
      <w:bookmarkStart w:id="280" w:name="_eeb4c179_bcae_4876_865c_87d85e6297b3"/>
      <w:bookmarkStart w:id="281" w:name="Tc_VqRDirxCM061IF2fCVZA1g_18_11"/>
      <w:bookmarkStart w:id="282" w:name="Tc_4owLffx67kKrtFDXWk9IJA_18_8"/>
      <w:bookmarkStart w:id="283" w:name="Tc_io05J28Fj0Kn12gvIL3rYA_18_5"/>
      <w:bookmarkStart w:id="284" w:name="Tc_ZZz6apI4skOMv-4IANfDMQ_18_2"/>
      <w:bookmarkStart w:id="285" w:name="Tc_P3-dX2Q_hESa-kN2zjyHFw_18_0"/>
      <w:bookmarkStart w:id="286" w:name="Tc_btZFXwqBSEyCa5RwLFQysg_16_0"/>
      <w:bookmarkStart w:id="287" w:name="Tc_hy2ffBKcsk2xsgFnpoYL4g_14_11"/>
      <w:bookmarkStart w:id="288" w:name="Tc_ax7AszGPE0iFjMG8OQ9Heg_14_8"/>
      <w:bookmarkStart w:id="289" w:name="Tc_Sa6kFZgwKE66g0DmOgIiIA_14_5"/>
      <w:bookmarkStart w:id="290" w:name="Tc_fFLHDNIKLUmIQddRwuLReQ_14_2"/>
      <w:bookmarkStart w:id="291" w:name="Tc_KMZ2p-DaAECKQyK-eLCtpw_14_0"/>
      <w:bookmarkStart w:id="292" w:name="Tc_p-Ln7e2tTU2S-iFHDNNgnA_12_0"/>
      <w:bookmarkStart w:id="293" w:name="Tc_cBePvYw6KES81KwQyAZ5dQ_10_0"/>
      <w:bookmarkStart w:id="294" w:name="Tc_FGSy-abo_0K-zptjPwG8ew_9_0"/>
      <w:bookmarkStart w:id="295" w:name="Tc_PNhMunfPLEGYPqPaSHtw1A_7_0"/>
      <w:bookmarkStart w:id="296" w:name="Tc_MJ4Oh6sps0WtIWA9lWB4Sw_5_11"/>
      <w:bookmarkStart w:id="297" w:name="Tc_wcm9PQtGu02xjXA8Hs4YdA_5_8"/>
      <w:bookmarkStart w:id="298" w:name="Tc_indErZxNkEiu6dF17oI2_w_5_5"/>
      <w:bookmarkStart w:id="299" w:name="Tc_jf7JpLalBUqQ0eSiF2LNoA_5_2"/>
      <w:bookmarkStart w:id="300" w:name="Tc_blBFwOv8ckW49k4ey9fZqQ_5_0"/>
      <w:bookmarkStart w:id="301" w:name="Tc_9VJ6z3Tid0KBGaRu6UPnCw_3_11"/>
      <w:bookmarkStart w:id="302" w:name="Tc_B_8b4TFLUUKvTmWu6tfcgw_3_8"/>
      <w:bookmarkStart w:id="303" w:name="Tc_Hzp_n_JOrEWGSqw3XarFSQ_3_5"/>
      <w:bookmarkStart w:id="304" w:name="Tc_v6mFsZ9xy0aCb4U-8R7mOw_3_2"/>
      <w:bookmarkStart w:id="305" w:name="Tc_l-V5OXl4MUSm1l6Z3q9BZA_2_11"/>
      <w:bookmarkStart w:id="306" w:name="Tc_tpBK4jtpikOqun-TEkC1NA_2_8"/>
      <w:bookmarkStart w:id="307" w:name="Tc_YhInz51pG0elUjD9I4xSMw_2_5"/>
      <w:bookmarkStart w:id="308" w:name="Tc_opwz7f-cZ0ewgzs4B82gSA_2_2"/>
      <w:bookmarkStart w:id="309" w:name="Tc_LvOuCaFRjkS8JKz-sPRnpA_1_11"/>
      <w:bookmarkStart w:id="310" w:name="Tc_SYI-PK4QO0ah37FBN5jxiw_1_8"/>
      <w:bookmarkStart w:id="311" w:name="Tc_NZgSLCzuGU-Xfr8YBVH1IQ_1_5"/>
      <w:bookmarkStart w:id="312" w:name="Tc_wCVKc9OAAEybuIUwDoqyOQ_1_2"/>
      <w:bookmarkStart w:id="313" w:name="_eeb4c179_bcae_4876_865c_87d85e6297b3"/>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tbl>
      <w:tblPr>
        <w:tblW w:w="10205" w:type="dxa"/>
        <w:jc w:val="left"/>
        <w:tblInd w:w="0" w:type="dxa"/>
        <w:tblLayout w:type="fixed"/>
        <w:tblCellMar>
          <w:top w:w="0" w:type="dxa"/>
          <w:left w:w="0" w:type="dxa"/>
          <w:bottom w:w="0" w:type="dxa"/>
          <w:right w:w="0" w:type="dxa"/>
        </w:tblCellMar>
      </w:tblPr>
      <w:tblGrid>
        <w:gridCol w:w="3720"/>
        <w:gridCol w:w="346"/>
        <w:gridCol w:w="306"/>
        <w:gridCol w:w="981"/>
        <w:gridCol w:w="346"/>
        <w:gridCol w:w="284"/>
        <w:gridCol w:w="1047"/>
        <w:gridCol w:w="346"/>
        <w:gridCol w:w="260"/>
        <w:gridCol w:w="957"/>
        <w:gridCol w:w="346"/>
        <w:gridCol w:w="258"/>
        <w:gridCol w:w="1008"/>
      </w:tblGrid>
      <w:tr>
        <w:trPr/>
        <w:tc>
          <w:tcPr>
            <w:tcW w:w="3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62200" cy="175260"/>
                      <wp:effectExtent l="0" t="0" r="0" b="0"/>
                      <wp:wrapNone/>
                      <wp:docPr id="22" name="Frame22"/>
                      <a:graphic xmlns:a="http://schemas.openxmlformats.org/drawingml/2006/main">
                        <a:graphicData uri="http://schemas.microsoft.com/office/word/2010/wordprocessingShape">
                          <wps:wsp>
                            <wps:cNvSpPr txBox="1"/>
                            <wps:spPr>
                              <a:xfrm>
                                <a:off x="0" y="0"/>
                                <a:ext cx="2362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94310" cy="175260"/>
                      <wp:effectExtent l="0" t="0" r="0" b="0"/>
                      <wp:wrapNone/>
                      <wp:docPr id="24" name="Frame24"/>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22935" cy="175260"/>
                      <wp:effectExtent l="0" t="0" r="0" b="0"/>
                      <wp:wrapNone/>
                      <wp:docPr id="25" name="Frame25"/>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0340" cy="175260"/>
                      <wp:effectExtent l="0" t="0" r="0" b="0"/>
                      <wp:wrapNone/>
                      <wp:docPr id="27" name="Frame2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4845" cy="175260"/>
                      <wp:effectExtent l="0" t="0" r="0" b="0"/>
                      <wp:wrapNone/>
                      <wp:docPr id="28" name="Frame2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5100" cy="175260"/>
                      <wp:effectExtent l="0" t="0" r="0" b="0"/>
                      <wp:wrapNone/>
                      <wp:docPr id="30" name="Frame3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07695" cy="175260"/>
                      <wp:effectExtent l="0" t="0" r="0" b="0"/>
                      <wp:wrapNone/>
                      <wp:docPr id="31" name="Frame3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3830" cy="175260"/>
                      <wp:effectExtent l="0" t="0" r="0" b="0"/>
                      <wp:wrapNone/>
                      <wp:docPr id="33" name="Frame3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0080" cy="175260"/>
                      <wp:effectExtent l="0" t="0" r="0" b="0"/>
                      <wp:wrapNone/>
                      <wp:docPr id="34" name="Frame34"/>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3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left"/>
              <w:rPr/>
            </w:pPr>
            <w:r>
              <w:rPr/>
              <w:t>​</w:t>
            </w:r>
          </w:p>
        </w:tc>
        <w:tc>
          <w:tcPr>
            <w:tcW w:w="12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3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2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r>
      <w:tr>
        <w:trPr/>
        <w:tc>
          <w:tcPr>
            <w:tcW w:w="37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(20,258)</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(11,855)</w:t>
            </w:r>
          </w:p>
        </w:tc>
        <w:tc>
          <w:tcPr>
            <w:tcW w:w="34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(33,852)</w:t>
            </w:r>
          </w:p>
        </w:tc>
      </w:tr>
      <w:tr>
        <w:trPr/>
        <w:tc>
          <w:tcPr>
            <w:tcW w:w="3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r>
      <w:tr>
        <w:trPr/>
        <w:tc>
          <w:tcPr>
            <w:tcW w:w="37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pPr>
            <w:r>
              <w:rPr/>
              <w:t>  ​</w:t>
            </w:r>
          </w:p>
        </w:tc>
      </w:tr>
      <w:tr>
        <w:trPr/>
        <w:tc>
          <w:tcPr>
            <w:tcW w:w="3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r>
      <w:tr>
        <w:trPr/>
        <w:tc>
          <w:tcPr>
            <w:tcW w:w="37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r>
      <w:tr>
        <w:trPr/>
        <w:tc>
          <w:tcPr>
            <w:tcW w:w="37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 </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w:t>
            </w:r>
          </w:p>
        </w:tc>
        <w:tc>
          <w:tcPr>
            <w:tcW w:w="346" w:type="dxa"/>
            <w:tcBorders/>
            <w:vAlign w:val="center"/>
          </w:tcPr>
          <w:p>
            <w:pPr>
              <w:pStyle w:val="TableContents"/>
              <w:bidi w:val="0"/>
              <w:spacing w:before="0" w:after="0"/>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r>
      <w:tr>
        <w:trPr/>
        <w:tc>
          <w:tcPr>
            <w:tcW w:w="3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left"/>
              <w:rPr/>
            </w:pPr>
            <w:r>
              <w:rPr/>
              <w:t>​</w:t>
            </w:r>
          </w:p>
        </w:tc>
      </w:tr>
      <w:tr>
        <w:trPr/>
        <w:tc>
          <w:tcPr>
            <w:tcW w:w="37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6,424</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w:t>
            </w:r>
          </w:p>
        </w:tc>
      </w:tr>
      <w:tr>
        <w:trPr/>
        <w:tc>
          <w:tcPr>
            <w:tcW w:w="3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7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 </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(13,834)</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(14,164)</w:t>
            </w:r>
          </w:p>
        </w:tc>
        <w:tc>
          <w:tcPr>
            <w:tcW w:w="34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(25,172)</w:t>
            </w:r>
          </w:p>
        </w:tc>
      </w:tr>
      <w:tr>
        <w:trPr/>
        <w:tc>
          <w:tcPr>
            <w:tcW w:w="3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left"/>
              <w:rPr/>
            </w:pPr>
            <w:r>
              <w:rPr/>
              <w:t>​</w:t>
            </w:r>
          </w:p>
        </w:tc>
      </w:tr>
      <w:tr>
        <w:trPr/>
        <w:tc>
          <w:tcPr>
            <w:tcW w:w="37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left"/>
              <w:rPr/>
            </w:pPr>
            <w:r>
              <w:rPr/>
              <w:t>​</w:t>
            </w:r>
          </w:p>
        </w:tc>
      </w:tr>
      <w:tr>
        <w:trPr/>
        <w:tc>
          <w:tcPr>
            <w:tcW w:w="37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comprehensive loss attributable to Viskase Holdings, Inc</w:t>
            </w:r>
          </w:p>
        </w:tc>
        <w:tc>
          <w:tcPr>
            <w:tcW w:w="346" w:type="dxa"/>
            <w:tcBorders/>
            <w:vAlign w:val="center"/>
          </w:tcPr>
          <w:p>
            <w:pPr>
              <w:pStyle w:val="TableContents"/>
              <w:bidi w:val="0"/>
              <w:spacing w:before="0" w:after="0"/>
              <w:ind w:left="0" w:right="0" w:hanging="0"/>
              <w:jc w:val="left"/>
              <w:rPr/>
            </w:pPr>
            <w:r>
              <w:rPr/>
              <w:t> </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(5,401)</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(13,822)</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(14,060)</w:t>
            </w:r>
          </w:p>
        </w:tc>
        <w:tc>
          <w:tcPr>
            <w:tcW w:w="34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4" w:name="_59e846d2_5de9_4686_a158_94d16f81f6c0"/>
      <w:bookmarkEnd w:id="314"/>
      <w:r>
        <w:rPr>
          <w:rFonts w:ascii="Times New Roman;Times;serif" w:hAnsi="Times New Roman;Times;serif"/>
          <w:b/>
          <w:sz w:val="20"/>
        </w:rPr>
        <w:t>VISKASE HOLDINGS, INC. AND SUBSIDIARIES</w:t>
      </w:r>
    </w:p>
    <w:p>
      <w:pPr>
        <w:pStyle w:val="TextBody"/>
        <w:bidi w:val="0"/>
        <w:spacing w:before="0" w:after="0"/>
        <w:ind w:left="0" w:right="0" w:hanging="0"/>
        <w:jc w:val="center"/>
        <w:rPr>
          <w:rFonts w:ascii="Times New Roman;Times;serif" w:hAnsi="Times New Roman;Times;serif"/>
          <w:b/>
          <w:sz w:val="20"/>
        </w:rPr>
      </w:pPr>
      <w:bookmarkStart w:id="315" w:name="CONDENSEDCONSOLIDATEDSTATEMENTSOFMEZZANI"/>
      <w:bookmarkEnd w:id="315"/>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6" w:name="Tc_1TUMQ4Ztk0GHXOa5SNflMw_19_31"/>
      <w:bookmarkStart w:id="317" w:name="Tc_IGxaU1NCSUCoIUF2N1twYg_19_28"/>
      <w:bookmarkStart w:id="318" w:name="Tc_zLnci_fSIEmKND1KphhqYg_19_25"/>
      <w:bookmarkStart w:id="319" w:name="Tc_L9cVyly-uUiom-BcfZTacQ_19_22"/>
      <w:bookmarkStart w:id="320" w:name="Tc_C1mYj-HsLkOkAwYIbV30uw_19_19"/>
      <w:bookmarkStart w:id="321" w:name="Tc_nBTazbP6TUWPDBHyjImL5A_19_17"/>
      <w:bookmarkStart w:id="322" w:name="Tc_sqPOCdrIJkKs1RzoaOWSLw_19_16"/>
      <w:bookmarkStart w:id="323" w:name="Tc_n477Soqnw0e6GQd_OAXOKQ_19_13"/>
      <w:bookmarkStart w:id="324" w:name="Tc_7MptMczS7EqDAdutMopJFQ_19_10"/>
      <w:bookmarkStart w:id="325" w:name="Tc_jqHMmzIo-UKdsI6SLfTPoA_19_5"/>
      <w:bookmarkStart w:id="326" w:name="Tc_qx_YoHk6s0OKNrW9-o9OBA_19_2"/>
      <w:bookmarkStart w:id="327" w:name="Tc_IsfjgXmK_E6aqdRdVuaETA_19_0"/>
      <w:bookmarkStart w:id="328" w:name="Tc_1PLZbVVWe0S9WffviUyu3w_18_29"/>
      <w:bookmarkStart w:id="329" w:name="Tc_GZXn7TcT7UeQVHW1PQ8neg_18_20"/>
      <w:bookmarkStart w:id="330" w:name="Tc_JXkVSf0NO0-l2uV99ZaHvQ_18_17"/>
      <w:bookmarkStart w:id="331" w:name="Tc_Ba5nkNoxo0SWXWeLLJxiIw_18_14"/>
      <w:bookmarkStart w:id="332" w:name="Tc_ikgnpkmgQUKkJsjEbHko-Q_18_11"/>
      <w:bookmarkStart w:id="333" w:name="Tc_vxmSMHZUZk2x5XC3Y52tnQ_18_8"/>
      <w:bookmarkStart w:id="334" w:name="Tc_NJqMYDi10Uaz6KAJL-3Qzg_18_5"/>
      <w:bookmarkStart w:id="335" w:name="Tc_NOsGpS8euky7DFvWsEE8nA_18_2"/>
      <w:bookmarkStart w:id="336" w:name="Tc_JV5r4uP7i0aixZCLb8-drg_18_0"/>
      <w:bookmarkStart w:id="337" w:name="Tc_HKTykCcCq0a8evIVH0EMIw_17_29"/>
      <w:bookmarkStart w:id="338" w:name="Tc_EHynv0qG9ku5z8D1XL_Zhw_17_20"/>
      <w:bookmarkStart w:id="339" w:name="Tc_KOX6pO6KW0mPDSdVtQaYLw_17_17"/>
      <w:bookmarkStart w:id="340" w:name="Tc_a-kgAzKnrEGnM9PCBDe-xg_17_14"/>
      <w:bookmarkStart w:id="341" w:name="Tc_NZQ40PK3_kyEsDDeDjkU6g_17_11"/>
      <w:bookmarkStart w:id="342" w:name="Tc_KKYDNpfSBEGy-esT_es9KA_17_8"/>
      <w:bookmarkStart w:id="343" w:name="Tc_IfB7U8eNQ02Triz-htNmEA_17_5"/>
      <w:bookmarkStart w:id="344" w:name="Tc_Bz-03HEpjkuC5OfeHBuvyA_17_2"/>
      <w:bookmarkStart w:id="345" w:name="Tc_0_kI9D_GHUC7JfROC_FkTA_17_0"/>
      <w:bookmarkStart w:id="346" w:name="Tc_3NV_H3IOLkaz52OOkA7uyg_16_23"/>
      <w:bookmarkStart w:id="347" w:name="Tc_5m1RItRICU2-jbQ7ikP4mg_16_17"/>
      <w:bookmarkStart w:id="348" w:name="Tc_8KEXq0Jja0a6cbhekRhUbw_16_14"/>
      <w:bookmarkStart w:id="349" w:name="Tc_AmBLfmX2bEaiHRjMpO5LKQ_16_11"/>
      <w:bookmarkStart w:id="350" w:name="Tc_Q1en1MepAEeayr4pFmvTLA_16_8"/>
      <w:bookmarkStart w:id="351" w:name="Tc_dHMgnEv2l0OyNVd2AeP0Og_16_5"/>
      <w:bookmarkStart w:id="352" w:name="Tc_khly4PXtik-s32a0RhxVdw_16_2"/>
      <w:bookmarkStart w:id="353" w:name="Tc_AmfkulZHoE-bTzFCuULAGg_16_0"/>
      <w:bookmarkStart w:id="354" w:name="Tc_rFtuFL_5W0WpPePYUo0MKQ_14_28"/>
      <w:bookmarkStart w:id="355" w:name="Tc__Ph9MFGCDk-A93bDbPM1Lw_14_25"/>
      <w:bookmarkStart w:id="356" w:name="Tc_YhN9znd4FUmJDBOlydKujg_14_22"/>
      <w:bookmarkStart w:id="357" w:name="Tc_iRtSU12i80iuITyNobnw2Q_14_19"/>
      <w:bookmarkStart w:id="358" w:name="Tc_Zn5OCORCGUWHWyhgB8KN9g_14_17"/>
      <w:bookmarkStart w:id="359" w:name="Tc_4Z22ItXSAUmxtVSgPJdung_14_16"/>
      <w:bookmarkStart w:id="360" w:name="Tc_1KGg55Fro0WGD7T1FLw8gg_14_13"/>
      <w:bookmarkStart w:id="361" w:name="Tc_LR_lDMw_9k66ZEPkn7Y-Ag_14_10"/>
      <w:bookmarkStart w:id="362" w:name="Tc_MGxfLazZPEeSFLbY8KeCLg_14_5"/>
      <w:bookmarkStart w:id="363" w:name="Tc_35Yi878-2UKG0dq0tlTdiA_14_2"/>
      <w:bookmarkStart w:id="364" w:name="Tc_Pd1_QJl_sUyLPuK2hKhuJQ_14_0"/>
      <w:bookmarkStart w:id="365" w:name="Tc_ilPbAtDz8ECcKqVbrK9YIQ_13_29"/>
      <w:bookmarkStart w:id="366" w:name="Tc_QvD5S_6S30iXJzzjn0jxgg_13_23"/>
      <w:bookmarkStart w:id="367" w:name="Tc_r6q9JQCpJ02MRArtCO5VzQ_13_20"/>
      <w:bookmarkStart w:id="368" w:name="Tc_w043y2wThEC7U3hN40Kk1w_13_17"/>
      <w:bookmarkStart w:id="369" w:name="Tc_epnrF3VeKUqa2BSmdITweQ_13_5"/>
      <w:bookmarkStart w:id="370" w:name="Tc_Y7H4KfwfE06NeBqwuFqMDg_13_2"/>
      <w:bookmarkStart w:id="371" w:name="Tc_c6oD-9F6UUywnzman5y3Hw_13_0"/>
      <w:bookmarkStart w:id="372" w:name="Tc_lu_9ngGuP0aaSam5Dvae-g_12_29"/>
      <w:bookmarkStart w:id="373" w:name="Tc_SEOyo8mLj0Cz1FFbgr0O8w_12_20"/>
      <w:bookmarkStart w:id="374" w:name="Tc_ZV4NOfmCZEqE_EqlF7H2ow_12_17"/>
      <w:bookmarkStart w:id="375" w:name="Tc_i82urGxz9kWjjO1boDe5BA_12_14"/>
      <w:bookmarkStart w:id="376" w:name="Tc_kHs4XpSr4UOkEOxngdoADQ_12_11"/>
      <w:bookmarkStart w:id="377" w:name="Tc_vn2EFmYcCEaJytrp2VjULg_12_8"/>
      <w:bookmarkStart w:id="378" w:name="Tc_q5-4ImLruk-qAu0DVPw7mw_12_5"/>
      <w:bookmarkStart w:id="379" w:name="Tc_SV8PRIAr8EKybN8VuhW-rg_12_2"/>
      <w:bookmarkStart w:id="380" w:name="Tc_sEL8vMd8x0iltWEV-nsuUw_12_0"/>
      <w:bookmarkStart w:id="381" w:name="Tc_ryhI_vvzX0mKYOH03cKqBQ_11_29"/>
      <w:bookmarkStart w:id="382" w:name="Tc_QgURn-KHeE-UMDvpRrWxzA_11_20"/>
      <w:bookmarkStart w:id="383" w:name="Tc_oHdV6_AFrkCUs7JBpK-Ykw_11_17"/>
      <w:bookmarkStart w:id="384" w:name="Tc_RKCAzp9l1kq1qweugfg3Uw_11_14"/>
      <w:bookmarkStart w:id="385" w:name="Tc_2LxCPsmXsU6WK1DDhdX5FA_11_11"/>
      <w:bookmarkStart w:id="386" w:name="Tc_-xS8-Fkl_EOHTSWWawvs-A_11_8"/>
      <w:bookmarkStart w:id="387" w:name="Tc_uR8Lyavmkk2mdH7BJ69bdw_11_5"/>
      <w:bookmarkStart w:id="388" w:name="Tc_sf5x2__yukyEv_PF0m4Dvg_11_2"/>
      <w:bookmarkStart w:id="389" w:name="Tc_0xoBYirNUki55RrIQIYDnA_11_0"/>
      <w:bookmarkStart w:id="390" w:name="Tc_N_7f0uYTgUuaU04c20m09w_10_23"/>
      <w:bookmarkStart w:id="391" w:name="Tc_0ofddwztN0mfW6J_aDsAMw_10_17"/>
      <w:bookmarkStart w:id="392" w:name="Tc_Q5FhrhtShU-VtN4aERxP0w_10_14"/>
      <w:bookmarkStart w:id="393" w:name="Tc_pSmse7X9qkSvqpbPWudhfw_10_11"/>
      <w:bookmarkStart w:id="394" w:name="Tc_pSnTiqccnE2bbXLXEFFvYw_10_8"/>
      <w:bookmarkStart w:id="395" w:name="Tc_hWZkCvdIBU6ldUF0KAqV1w_10_5"/>
      <w:bookmarkStart w:id="396" w:name="Tc_HQLbbRGo-kmfJ0ra59Z0EA_10_2"/>
      <w:bookmarkStart w:id="397" w:name="Tc___Q3CCmQ_0G_1CB-fu7W4Q_10_0"/>
      <w:bookmarkStart w:id="398" w:name="Tc_22fvgRr1Gk28MxsK8b43Fg_8_17"/>
      <w:bookmarkStart w:id="399" w:name="Tc_pHUBdlXh60m1fP4VWwuE7A_8_5"/>
      <w:bookmarkStart w:id="400" w:name="Tc_h2dKPCTI_UKxWlPSkgASQQ_8_2"/>
      <w:bookmarkStart w:id="401" w:name="Tc_quvaNPP4cE21yFecVpNO8w_8_0"/>
      <w:bookmarkStart w:id="402" w:name="Tc_my0hn300sEm1TNPADjI02A_7_32"/>
      <w:bookmarkStart w:id="403" w:name="Tc_NnSroNj1Fk2HKFJsSiXVfw_7_29"/>
      <w:bookmarkStart w:id="404" w:name="Tc_593C86O_EUCs6k4orkyncQ_7_26"/>
      <w:bookmarkStart w:id="405" w:name="Tc_ha7bEeTsd0ORzCZ2uo6NRg_7_23"/>
      <w:bookmarkStart w:id="406" w:name="Tc_JmhwmnC6b0GKjM9DmrLPtQ_7_20"/>
      <w:bookmarkStart w:id="407" w:name="Tc_zTeBwuRUgUC6TTIMn_CopA_7_5"/>
      <w:bookmarkStart w:id="408" w:name="Tc_DWDw4CQRe0i1S_cf2Zr0sw_7_2"/>
      <w:bookmarkStart w:id="409" w:name="Tc_Rj10SaHiuUCq75bkRuFlqA_7_0"/>
      <w:bookmarkStart w:id="410" w:name="Tc_LhF8mrD0FkiU_Qbw7T03kQ_6_31"/>
      <w:bookmarkStart w:id="411" w:name="Tc_-yTRw8NWYE6qzC0o9SmrnQ_6_28"/>
      <w:bookmarkStart w:id="412" w:name="Tc_a2Q4KaDZm0K8sw6Ghe9dew_6_25"/>
      <w:bookmarkStart w:id="413" w:name="Tc_U0-0nBnfm02WX9DS_aJKVA_6_22"/>
      <w:bookmarkStart w:id="414" w:name="Tc_p4fc_4-W9Uu9wGxBSifZ5Q_6_19"/>
      <w:bookmarkStart w:id="415" w:name="Tc_VYTAgW2D4kmuOgYzZqjBkA_6_16"/>
      <w:bookmarkStart w:id="416" w:name="Tc_gtMGErz4dEaIxeT7VqjAow_6_13"/>
      <w:bookmarkStart w:id="417" w:name="Tc_UaXhJn-6LkiZY6EbRQrARQ_6_10"/>
      <w:bookmarkStart w:id="418" w:name="Tc_4CG90Lw_-kSiI_zNGjhfOA_6_5"/>
      <w:bookmarkStart w:id="419" w:name="Tc_NU7N2nFY1UWcWDVw2ZZF0Q_6_2"/>
      <w:bookmarkStart w:id="420" w:name="Tc_sCPUTNMxuECSxGqJew-VJA_6_0"/>
      <w:bookmarkStart w:id="421" w:name="Tc_NiSSgIGXjEaS9QRSD9hCqg_5_31"/>
      <w:bookmarkStart w:id="422" w:name="Tc_X15lpdz3UUO6tGAZQ7GZ1A_5_28"/>
      <w:bookmarkStart w:id="423" w:name="Tc_9OnZm6dfZ0mLqkZ54m1wQA_5_25"/>
      <w:bookmarkStart w:id="424" w:name="Tc_al2aMSkfV0Wzii0xycE_pw_5_22"/>
      <w:bookmarkStart w:id="425" w:name="Tc_4yPzsll4TkGiYjBZLnROlQ_5_19"/>
      <w:bookmarkStart w:id="426" w:name="Tc_3_NVQboQwU-KHCzbXmQUGg_5_16"/>
      <w:bookmarkStart w:id="427" w:name="Tc_JBIuIcZp2EafmJ-bwgKLvA_5_13"/>
      <w:bookmarkStart w:id="428" w:name="Tc_GSeniwPztE2vusebQUkJCw_5_10"/>
      <w:bookmarkStart w:id="429" w:name="Tc_IgCVkYIMp0OQdtKfrwoPpg_5_8"/>
      <w:bookmarkStart w:id="430" w:name="Tc_6_jGm89hjkCxvRNl8fL9EQ_5_4"/>
      <w:bookmarkStart w:id="431" w:name="Tc_SxWz20MqOEGxnR9C-8Ax9A_5_2"/>
      <w:bookmarkStart w:id="432" w:name="Tc_RpN2-zX24ESZdaUo3TWvMQ_4_31"/>
      <w:bookmarkStart w:id="433" w:name="Tc_jBEvKEBX60uBILSN3lEBKQ_4_28"/>
      <w:bookmarkStart w:id="434" w:name="Tc_v2nbERX3xkuEqLKsMBBxTw_4_25"/>
      <w:bookmarkStart w:id="435" w:name="Tc_4_7yFtrn90qWuzByTAP-hw_4_22"/>
      <w:bookmarkStart w:id="436" w:name="Tc_2OhMpsWFMEecRNCB9POhiQ_4_19"/>
      <w:bookmarkStart w:id="437" w:name="Tc_n-GQE9-ZqkOvxbX6LvVGDw_4_16"/>
      <w:bookmarkStart w:id="438" w:name="Tc_j2-UXcxNgE2YUDIiRcklSw_4_13"/>
      <w:bookmarkStart w:id="439" w:name="Tc_1fvYR77mM0WPIPEhksM_pA_4_10"/>
      <w:bookmarkStart w:id="440" w:name="Tc_EnzED_Yu406zN5ZqsuZ8SQ_4_8"/>
      <w:bookmarkStart w:id="441" w:name="Tc_0N6tyTjWQkS-BRv3u5u02w_4_4"/>
      <w:bookmarkStart w:id="442" w:name="Tc_Put-oOKI5kaizzmbd_j1MQ_4_2"/>
      <w:bookmarkStart w:id="443" w:name="Tc__IWdaZzEgEK0xalVOUXicw_3_31"/>
      <w:bookmarkStart w:id="444" w:name="Tc_PqXeATo350ixJAA8wA3aDQ_3_28"/>
      <w:bookmarkStart w:id="445" w:name="Tc_RhwNZxatgEGAGKcn961qNw_3_25"/>
      <w:bookmarkStart w:id="446" w:name="Tc_dcPNISzvUk2cUgVQlN6u9Q_3_22"/>
      <w:bookmarkStart w:id="447" w:name="Tc_gDkooF0iSEq7oQXwaXTE1w_3_8"/>
      <w:bookmarkStart w:id="448" w:name="Tc_qadtj1X6B0eu0EqsADoMjw_3_4"/>
      <w:bookmarkStart w:id="449" w:name="Tc_dSD1iSweqUatnJlPzBs9aw_3_2"/>
      <w:bookmarkStart w:id="450" w:name="Tc_HVM_qYvoJkG7Veq7fiDgkg_2_25"/>
      <w:bookmarkStart w:id="451" w:name="Tc_VwLN-OmF8kKIfW7K-EfY-w_2_22"/>
      <w:bookmarkStart w:id="452" w:name="Tc_0g5pKRTgmEitB-XHz0tcIQ_2_8"/>
      <w:bookmarkStart w:id="453" w:name="Tc_wugbZAlCt0mHcMhe9ngiKQ_2_4"/>
      <w:bookmarkStart w:id="454" w:name="Tc_Eb9WGMaJXEe3ri3Vj1Z5JA_2_2"/>
      <w:bookmarkStart w:id="455" w:name="Tc_t1O31bjZukGx5jq0zdpHpQ_1_4"/>
      <w:bookmarkStart w:id="456" w:name="Tc_BHZjzrMuAkmCBl55rWdafA_1_2"/>
      <w:bookmarkStart w:id="457" w:name="_122d1829_ca8b_4242_a7a4_8f1071f6bf38"/>
      <w:bookmarkStart w:id="458" w:name="Tc_1TUMQ4Ztk0GHXOa5SNflMw_19_31"/>
      <w:bookmarkStart w:id="459" w:name="Tc_IGxaU1NCSUCoIUF2N1twYg_19_28"/>
      <w:bookmarkStart w:id="460" w:name="Tc_zLnci_fSIEmKND1KphhqYg_19_25"/>
      <w:bookmarkStart w:id="461" w:name="Tc_L9cVyly-uUiom-BcfZTacQ_19_22"/>
      <w:bookmarkStart w:id="462" w:name="Tc_C1mYj-HsLkOkAwYIbV30uw_19_19"/>
      <w:bookmarkStart w:id="463" w:name="Tc_nBTazbP6TUWPDBHyjImL5A_19_17"/>
      <w:bookmarkStart w:id="464" w:name="Tc_sqPOCdrIJkKs1RzoaOWSLw_19_16"/>
      <w:bookmarkStart w:id="465" w:name="Tc_n477Soqnw0e6GQd_OAXOKQ_19_13"/>
      <w:bookmarkStart w:id="466" w:name="Tc_7MptMczS7EqDAdutMopJFQ_19_10"/>
      <w:bookmarkStart w:id="467" w:name="Tc_jqHMmzIo-UKdsI6SLfTPoA_19_5"/>
      <w:bookmarkStart w:id="468" w:name="Tc_qx_YoHk6s0OKNrW9-o9OBA_19_2"/>
      <w:bookmarkStart w:id="469" w:name="Tc_IsfjgXmK_E6aqdRdVuaETA_19_0"/>
      <w:bookmarkStart w:id="470" w:name="Tc_1PLZbVVWe0S9WffviUyu3w_18_29"/>
      <w:bookmarkStart w:id="471" w:name="Tc_GZXn7TcT7UeQVHW1PQ8neg_18_20"/>
      <w:bookmarkStart w:id="472" w:name="Tc_JXkVSf0NO0-l2uV99ZaHvQ_18_17"/>
      <w:bookmarkStart w:id="473" w:name="Tc_Ba5nkNoxo0SWXWeLLJxiIw_18_14"/>
      <w:bookmarkStart w:id="474" w:name="Tc_ikgnpkmgQUKkJsjEbHko-Q_18_11"/>
      <w:bookmarkStart w:id="475" w:name="Tc_vxmSMHZUZk2x5XC3Y52tnQ_18_8"/>
      <w:bookmarkStart w:id="476" w:name="Tc_NJqMYDi10Uaz6KAJL-3Qzg_18_5"/>
      <w:bookmarkStart w:id="477" w:name="Tc_NOsGpS8euky7DFvWsEE8nA_18_2"/>
      <w:bookmarkStart w:id="478" w:name="Tc_JV5r4uP7i0aixZCLb8-drg_18_0"/>
      <w:bookmarkStart w:id="479" w:name="Tc_HKTykCcCq0a8evIVH0EMIw_17_29"/>
      <w:bookmarkStart w:id="480" w:name="Tc_EHynv0qG9ku5z8D1XL_Zhw_17_20"/>
      <w:bookmarkStart w:id="481" w:name="Tc_KOX6pO6KW0mPDSdVtQaYLw_17_17"/>
      <w:bookmarkStart w:id="482" w:name="Tc_a-kgAzKnrEGnM9PCBDe-xg_17_14"/>
      <w:bookmarkStart w:id="483" w:name="Tc_NZQ40PK3_kyEsDDeDjkU6g_17_11"/>
      <w:bookmarkStart w:id="484" w:name="Tc_KKYDNpfSBEGy-esT_es9KA_17_8"/>
      <w:bookmarkStart w:id="485" w:name="Tc_IfB7U8eNQ02Triz-htNmEA_17_5"/>
      <w:bookmarkStart w:id="486" w:name="Tc_Bz-03HEpjkuC5OfeHBuvyA_17_2"/>
      <w:bookmarkStart w:id="487" w:name="Tc_0_kI9D_GHUC7JfROC_FkTA_17_0"/>
      <w:bookmarkStart w:id="488" w:name="Tc_3NV_H3IOLkaz52OOkA7uyg_16_23"/>
      <w:bookmarkStart w:id="489" w:name="Tc_5m1RItRICU2-jbQ7ikP4mg_16_17"/>
      <w:bookmarkStart w:id="490" w:name="Tc_8KEXq0Jja0a6cbhekRhUbw_16_14"/>
      <w:bookmarkStart w:id="491" w:name="Tc_AmBLfmX2bEaiHRjMpO5LKQ_16_11"/>
      <w:bookmarkStart w:id="492" w:name="Tc_Q1en1MepAEeayr4pFmvTLA_16_8"/>
      <w:bookmarkStart w:id="493" w:name="Tc_dHMgnEv2l0OyNVd2AeP0Og_16_5"/>
      <w:bookmarkStart w:id="494" w:name="Tc_khly4PXtik-s32a0RhxVdw_16_2"/>
      <w:bookmarkStart w:id="495" w:name="Tc_AmfkulZHoE-bTzFCuULAGg_16_0"/>
      <w:bookmarkStart w:id="496" w:name="Tc_rFtuFL_5W0WpPePYUo0MKQ_14_28"/>
      <w:bookmarkStart w:id="497" w:name="Tc__Ph9MFGCDk-A93bDbPM1Lw_14_25"/>
      <w:bookmarkStart w:id="498" w:name="Tc_YhN9znd4FUmJDBOlydKujg_14_22"/>
      <w:bookmarkStart w:id="499" w:name="Tc_iRtSU12i80iuITyNobnw2Q_14_19"/>
      <w:bookmarkStart w:id="500" w:name="Tc_Zn5OCORCGUWHWyhgB8KN9g_14_17"/>
      <w:bookmarkStart w:id="501" w:name="Tc_4Z22ItXSAUmxtVSgPJdung_14_16"/>
      <w:bookmarkStart w:id="502" w:name="Tc_1KGg55Fro0WGD7T1FLw8gg_14_13"/>
      <w:bookmarkStart w:id="503" w:name="Tc_LR_lDMw_9k66ZEPkn7Y-Ag_14_10"/>
      <w:bookmarkStart w:id="504" w:name="Tc_MGxfLazZPEeSFLbY8KeCLg_14_5"/>
      <w:bookmarkStart w:id="505" w:name="Tc_35Yi878-2UKG0dq0tlTdiA_14_2"/>
      <w:bookmarkStart w:id="506" w:name="Tc_Pd1_QJl_sUyLPuK2hKhuJQ_14_0"/>
      <w:bookmarkStart w:id="507" w:name="Tc_ilPbAtDz8ECcKqVbrK9YIQ_13_29"/>
      <w:bookmarkStart w:id="508" w:name="Tc_QvD5S_6S30iXJzzjn0jxgg_13_23"/>
      <w:bookmarkStart w:id="509" w:name="Tc_r6q9JQCpJ02MRArtCO5VzQ_13_20"/>
      <w:bookmarkStart w:id="510" w:name="Tc_w043y2wThEC7U3hN40Kk1w_13_17"/>
      <w:bookmarkStart w:id="511" w:name="Tc_epnrF3VeKUqa2BSmdITweQ_13_5"/>
      <w:bookmarkStart w:id="512" w:name="Tc_Y7H4KfwfE06NeBqwuFqMDg_13_2"/>
      <w:bookmarkStart w:id="513" w:name="Tc_c6oD-9F6UUywnzman5y3Hw_13_0"/>
      <w:bookmarkStart w:id="514" w:name="Tc_lu_9ngGuP0aaSam5Dvae-g_12_29"/>
      <w:bookmarkStart w:id="515" w:name="Tc_SEOyo8mLj0Cz1FFbgr0O8w_12_20"/>
      <w:bookmarkStart w:id="516" w:name="Tc_ZV4NOfmCZEqE_EqlF7H2ow_12_17"/>
      <w:bookmarkStart w:id="517" w:name="Tc_i82urGxz9kWjjO1boDe5BA_12_14"/>
      <w:bookmarkStart w:id="518" w:name="Tc_kHs4XpSr4UOkEOxngdoADQ_12_11"/>
      <w:bookmarkStart w:id="519" w:name="Tc_vn2EFmYcCEaJytrp2VjULg_12_8"/>
      <w:bookmarkStart w:id="520" w:name="Tc_q5-4ImLruk-qAu0DVPw7mw_12_5"/>
      <w:bookmarkStart w:id="521" w:name="Tc_SV8PRIAr8EKybN8VuhW-rg_12_2"/>
      <w:bookmarkStart w:id="522" w:name="Tc_sEL8vMd8x0iltWEV-nsuUw_12_0"/>
      <w:bookmarkStart w:id="523" w:name="Tc_ryhI_vvzX0mKYOH03cKqBQ_11_29"/>
      <w:bookmarkStart w:id="524" w:name="Tc_QgURn-KHeE-UMDvpRrWxzA_11_20"/>
      <w:bookmarkStart w:id="525" w:name="Tc_oHdV6_AFrkCUs7JBpK-Ykw_11_17"/>
      <w:bookmarkStart w:id="526" w:name="Tc_RKCAzp9l1kq1qweugfg3Uw_11_14"/>
      <w:bookmarkStart w:id="527" w:name="Tc_2LxCPsmXsU6WK1DDhdX5FA_11_11"/>
      <w:bookmarkStart w:id="528" w:name="Tc_-xS8-Fkl_EOHTSWWawvs-A_11_8"/>
      <w:bookmarkStart w:id="529" w:name="Tc_uR8Lyavmkk2mdH7BJ69bdw_11_5"/>
      <w:bookmarkStart w:id="530" w:name="Tc_sf5x2__yukyEv_PF0m4Dvg_11_2"/>
      <w:bookmarkStart w:id="531" w:name="Tc_0xoBYirNUki55RrIQIYDnA_11_0"/>
      <w:bookmarkStart w:id="532" w:name="Tc_N_7f0uYTgUuaU04c20m09w_10_23"/>
      <w:bookmarkStart w:id="533" w:name="Tc_0ofddwztN0mfW6J_aDsAMw_10_17"/>
      <w:bookmarkStart w:id="534" w:name="Tc_Q5FhrhtShU-VtN4aERxP0w_10_14"/>
      <w:bookmarkStart w:id="535" w:name="Tc_pSmse7X9qkSvqpbPWudhfw_10_11"/>
      <w:bookmarkStart w:id="536" w:name="Tc_pSnTiqccnE2bbXLXEFFvYw_10_8"/>
      <w:bookmarkStart w:id="537" w:name="Tc_hWZkCvdIBU6ldUF0KAqV1w_10_5"/>
      <w:bookmarkStart w:id="538" w:name="Tc_HQLbbRGo-kmfJ0ra59Z0EA_10_2"/>
      <w:bookmarkStart w:id="539" w:name="Tc___Q3CCmQ_0G_1CB-fu7W4Q_10_0"/>
      <w:bookmarkStart w:id="540" w:name="Tc_22fvgRr1Gk28MxsK8b43Fg_8_17"/>
      <w:bookmarkStart w:id="541" w:name="Tc_pHUBdlXh60m1fP4VWwuE7A_8_5"/>
      <w:bookmarkStart w:id="542" w:name="Tc_h2dKPCTI_UKxWlPSkgASQQ_8_2"/>
      <w:bookmarkStart w:id="543" w:name="Tc_quvaNPP4cE21yFecVpNO8w_8_0"/>
      <w:bookmarkStart w:id="544" w:name="Tc_my0hn300sEm1TNPADjI02A_7_32"/>
      <w:bookmarkStart w:id="545" w:name="Tc_NnSroNj1Fk2HKFJsSiXVfw_7_29"/>
      <w:bookmarkStart w:id="546" w:name="Tc_593C86O_EUCs6k4orkyncQ_7_26"/>
      <w:bookmarkStart w:id="547" w:name="Tc_ha7bEeTsd0ORzCZ2uo6NRg_7_23"/>
      <w:bookmarkStart w:id="548" w:name="Tc_JmhwmnC6b0GKjM9DmrLPtQ_7_20"/>
      <w:bookmarkStart w:id="549" w:name="Tc_zTeBwuRUgUC6TTIMn_CopA_7_5"/>
      <w:bookmarkStart w:id="550" w:name="Tc_DWDw4CQRe0i1S_cf2Zr0sw_7_2"/>
      <w:bookmarkStart w:id="551" w:name="Tc_Rj10SaHiuUCq75bkRuFlqA_7_0"/>
      <w:bookmarkStart w:id="552" w:name="Tc_LhF8mrD0FkiU_Qbw7T03kQ_6_31"/>
      <w:bookmarkStart w:id="553" w:name="Tc_-yTRw8NWYE6qzC0o9SmrnQ_6_28"/>
      <w:bookmarkStart w:id="554" w:name="Tc_a2Q4KaDZm0K8sw6Ghe9dew_6_25"/>
      <w:bookmarkStart w:id="555" w:name="Tc_U0-0nBnfm02WX9DS_aJKVA_6_22"/>
      <w:bookmarkStart w:id="556" w:name="Tc_p4fc_4-W9Uu9wGxBSifZ5Q_6_19"/>
      <w:bookmarkStart w:id="557" w:name="Tc_VYTAgW2D4kmuOgYzZqjBkA_6_16"/>
      <w:bookmarkStart w:id="558" w:name="Tc_gtMGErz4dEaIxeT7VqjAow_6_13"/>
      <w:bookmarkStart w:id="559" w:name="Tc_UaXhJn-6LkiZY6EbRQrARQ_6_10"/>
      <w:bookmarkStart w:id="560" w:name="Tc_4CG90Lw_-kSiI_zNGjhfOA_6_5"/>
      <w:bookmarkStart w:id="561" w:name="Tc_NU7N2nFY1UWcWDVw2ZZF0Q_6_2"/>
      <w:bookmarkStart w:id="562" w:name="Tc_sCPUTNMxuECSxGqJew-VJA_6_0"/>
      <w:bookmarkStart w:id="563" w:name="Tc_NiSSgIGXjEaS9QRSD9hCqg_5_31"/>
      <w:bookmarkStart w:id="564" w:name="Tc_X15lpdz3UUO6tGAZQ7GZ1A_5_28"/>
      <w:bookmarkStart w:id="565" w:name="Tc_9OnZm6dfZ0mLqkZ54m1wQA_5_25"/>
      <w:bookmarkStart w:id="566" w:name="Tc_al2aMSkfV0Wzii0xycE_pw_5_22"/>
      <w:bookmarkStart w:id="567" w:name="Tc_4yPzsll4TkGiYjBZLnROlQ_5_19"/>
      <w:bookmarkStart w:id="568" w:name="Tc_3_NVQboQwU-KHCzbXmQUGg_5_16"/>
      <w:bookmarkStart w:id="569" w:name="Tc_JBIuIcZp2EafmJ-bwgKLvA_5_13"/>
      <w:bookmarkStart w:id="570" w:name="Tc_GSeniwPztE2vusebQUkJCw_5_10"/>
      <w:bookmarkStart w:id="571" w:name="Tc_IgCVkYIMp0OQdtKfrwoPpg_5_8"/>
      <w:bookmarkStart w:id="572" w:name="Tc_6_jGm89hjkCxvRNl8fL9EQ_5_4"/>
      <w:bookmarkStart w:id="573" w:name="Tc_SxWz20MqOEGxnR9C-8Ax9A_5_2"/>
      <w:bookmarkStart w:id="574" w:name="Tc_RpN2-zX24ESZdaUo3TWvMQ_4_31"/>
      <w:bookmarkStart w:id="575" w:name="Tc_jBEvKEBX60uBILSN3lEBKQ_4_28"/>
      <w:bookmarkStart w:id="576" w:name="Tc_v2nbERX3xkuEqLKsMBBxTw_4_25"/>
      <w:bookmarkStart w:id="577" w:name="Tc_4_7yFtrn90qWuzByTAP-hw_4_22"/>
      <w:bookmarkStart w:id="578" w:name="Tc_2OhMpsWFMEecRNCB9POhiQ_4_19"/>
      <w:bookmarkStart w:id="579" w:name="Tc_n-GQE9-ZqkOvxbX6LvVGDw_4_16"/>
      <w:bookmarkStart w:id="580" w:name="Tc_j2-UXcxNgE2YUDIiRcklSw_4_13"/>
      <w:bookmarkStart w:id="581" w:name="Tc_1fvYR77mM0WPIPEhksM_pA_4_10"/>
      <w:bookmarkStart w:id="582" w:name="Tc_EnzED_Yu406zN5ZqsuZ8SQ_4_8"/>
      <w:bookmarkStart w:id="583" w:name="Tc_0N6tyTjWQkS-BRv3u5u02w_4_4"/>
      <w:bookmarkStart w:id="584" w:name="Tc_Put-oOKI5kaizzmbd_j1MQ_4_2"/>
      <w:bookmarkStart w:id="585" w:name="Tc__IWdaZzEgEK0xalVOUXicw_3_31"/>
      <w:bookmarkStart w:id="586" w:name="Tc_PqXeATo350ixJAA8wA3aDQ_3_28"/>
      <w:bookmarkStart w:id="587" w:name="Tc_RhwNZxatgEGAGKcn961qNw_3_25"/>
      <w:bookmarkStart w:id="588" w:name="Tc_dcPNISzvUk2cUgVQlN6u9Q_3_22"/>
      <w:bookmarkStart w:id="589" w:name="Tc_gDkooF0iSEq7oQXwaXTE1w_3_8"/>
      <w:bookmarkStart w:id="590" w:name="Tc_qadtj1X6B0eu0EqsADoMjw_3_4"/>
      <w:bookmarkStart w:id="591" w:name="Tc_dSD1iSweqUatnJlPzBs9aw_3_2"/>
      <w:bookmarkStart w:id="592" w:name="Tc_HVM_qYvoJkG7Veq7fiDgkg_2_25"/>
      <w:bookmarkStart w:id="593" w:name="Tc_VwLN-OmF8kKIfW7K-EfY-w_2_22"/>
      <w:bookmarkStart w:id="594" w:name="Tc_0g5pKRTgmEitB-XHz0tcIQ_2_8"/>
      <w:bookmarkStart w:id="595" w:name="Tc_wugbZAlCt0mHcMhe9ngiKQ_2_4"/>
      <w:bookmarkStart w:id="596" w:name="Tc_Eb9WGMaJXEe3ri3Vj1Z5JA_2_2"/>
      <w:bookmarkStart w:id="597" w:name="Tc_t1O31bjZukGx5jq0zdpHpQ_1_4"/>
      <w:bookmarkStart w:id="598" w:name="Tc_BHZjzrMuAkmCBl55rWdafA_1_2"/>
      <w:bookmarkStart w:id="599" w:name="_122d1829_ca8b_4242_a7a4_8f1071f6bf38"/>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tbl>
      <w:tblPr>
        <w:tblW w:w="15552" w:type="dxa"/>
        <w:jc w:val="left"/>
        <w:tblInd w:w="0" w:type="dxa"/>
        <w:tblLayout w:type="fixed"/>
        <w:tblCellMar>
          <w:top w:w="0" w:type="dxa"/>
          <w:left w:w="0" w:type="dxa"/>
          <w:bottom w:w="0" w:type="dxa"/>
          <w:right w:w="0" w:type="dxa"/>
        </w:tblCellMar>
      </w:tblPr>
      <w:tblGrid>
        <w:gridCol w:w="1066"/>
        <w:gridCol w:w="346"/>
        <w:gridCol w:w="871"/>
        <w:gridCol w:w="346"/>
        <w:gridCol w:w="208"/>
        <w:gridCol w:w="663"/>
        <w:gridCol w:w="226"/>
        <w:gridCol w:w="226"/>
        <w:gridCol w:w="1141"/>
        <w:gridCol w:w="346"/>
        <w:gridCol w:w="218"/>
        <w:gridCol w:w="593"/>
        <w:gridCol w:w="346"/>
        <w:gridCol w:w="211"/>
        <w:gridCol w:w="781"/>
        <w:gridCol w:w="346"/>
        <w:gridCol w:w="233"/>
        <w:gridCol w:w="533"/>
        <w:gridCol w:w="346"/>
        <w:gridCol w:w="211"/>
        <w:gridCol w:w="736"/>
        <w:gridCol w:w="346"/>
        <w:gridCol w:w="260"/>
        <w:gridCol w:w="911"/>
        <w:gridCol w:w="346"/>
        <w:gridCol w:w="211"/>
        <w:gridCol w:w="795"/>
        <w:gridCol w:w="346"/>
        <w:gridCol w:w="211"/>
        <w:gridCol w:w="690"/>
        <w:gridCol w:w="346"/>
        <w:gridCol w:w="211"/>
        <w:gridCol w:w="886"/>
      </w:tblGrid>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53085" cy="175260"/>
                      <wp:effectExtent l="0" t="0" r="0" b="0"/>
                      <wp:wrapNone/>
                      <wp:docPr id="36" name="Frame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2080" cy="175260"/>
                      <wp:effectExtent l="0" t="0" r="0" b="0"/>
                      <wp:wrapNone/>
                      <wp:docPr id="38" name="Frame38"/>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1005" cy="175260"/>
                      <wp:effectExtent l="0" t="0" r="0" b="0"/>
                      <wp:wrapNone/>
                      <wp:docPr id="39" name="Frame39"/>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41" name="Frame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24535" cy="175260"/>
                      <wp:effectExtent l="0" t="0" r="0" b="0"/>
                      <wp:wrapNone/>
                      <wp:docPr id="42" name="Frame4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8430" cy="175260"/>
                      <wp:effectExtent l="0" t="0" r="0" b="0"/>
                      <wp:wrapNone/>
                      <wp:docPr id="44" name="Frame4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76555" cy="175260"/>
                      <wp:effectExtent l="0" t="0" r="0" b="0"/>
                      <wp:wrapNone/>
                      <wp:docPr id="45" name="Frame4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7955" cy="175260"/>
                      <wp:effectExtent l="0" t="0" r="0" b="0"/>
                      <wp:wrapNone/>
                      <wp:docPr id="50" name="Frame5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38455" cy="175260"/>
                      <wp:effectExtent l="0" t="0" r="0" b="0"/>
                      <wp:wrapNone/>
                      <wp:docPr id="51" name="Frame51"/>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7360" cy="175260"/>
                      <wp:effectExtent l="0" t="0" r="0" b="0"/>
                      <wp:wrapNone/>
                      <wp:docPr id="54" name="Frame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5100" cy="175260"/>
                      <wp:effectExtent l="0" t="0" r="0" b="0"/>
                      <wp:wrapNone/>
                      <wp:docPr id="56" name="Frame5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8485" cy="175260"/>
                      <wp:effectExtent l="0" t="0" r="0" b="0"/>
                      <wp:wrapNone/>
                      <wp:docPr id="57" name="Frame5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4825" cy="175260"/>
                      <wp:effectExtent l="0" t="0" r="0" b="0"/>
                      <wp:wrapNone/>
                      <wp:docPr id="60" name="Frame60"/>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8150" cy="175260"/>
                      <wp:effectExtent l="0" t="0" r="0" b="0"/>
                      <wp:wrapNone/>
                      <wp:docPr id="63" name="Frame6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2610" cy="175260"/>
                      <wp:effectExtent l="0" t="0" r="0" b="0"/>
                      <wp:wrapNone/>
                      <wp:docPr id="66" name="Frame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Mezzanine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Mezzanine</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C</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C</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Viskase</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Issued </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comprehensive </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(Shares)</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Stock </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stock </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Interest </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1, 2025 (as previously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103,190,665</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182,343</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53,610</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169,988</w:t>
            </w:r>
          </w:p>
        </w:tc>
      </w:tr>
      <w:tr>
        <w:trPr/>
        <w:tc>
          <w:tcPr>
            <w:tcW w:w="10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Retroactive application of Merger</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(98,122,166)</w:t>
            </w:r>
          </w:p>
        </w:tc>
        <w:tc>
          <w:tcPr>
            <w:tcW w:w="346" w:type="dxa"/>
            <w:tcBorders/>
            <w:vAlign w:val="center"/>
          </w:tcPr>
          <w:p>
            <w:pPr>
              <w:pStyle w:val="TableContents"/>
              <w:bidi w:val="0"/>
              <w:spacing w:before="0" w:after="0"/>
              <w:ind w:left="0" w:right="0" w:hanging="0"/>
              <w:jc w:val="righ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at January 1, 2025 effect of reverse acquisition (refer to Note 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5,068,499</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183,034</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53,610</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169,988</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(13,585)</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(13,594)</w:t>
            </w:r>
          </w:p>
        </w:tc>
      </w:tr>
      <w:tr>
        <w:trPr/>
        <w:tc>
          <w:tcPr>
            <w:tcW w:w="10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0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of common stock</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350,841</w:t>
            </w:r>
          </w:p>
        </w:tc>
        <w:tc>
          <w:tcPr>
            <w:tcW w:w="346" w:type="dxa"/>
            <w:tcBorders/>
            <w:vAlign w:val="center"/>
          </w:tcPr>
          <w:p>
            <w:pPr>
              <w:pStyle w:val="TableContents"/>
              <w:bidi w:val="0"/>
              <w:spacing w:before="0" w:after="0"/>
              <w:ind w:left="0" w:right="0" w:hanging="0"/>
              <w:jc w:val="righ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14,996</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5,419,340</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198,030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40,025</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173,650</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(20,244)</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(20,258)</w:t>
            </w:r>
          </w:p>
        </w:tc>
      </w:tr>
      <w:tr>
        <w:trPr/>
        <w:tc>
          <w:tcPr>
            <w:tcW w:w="10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r>
      <w:tr>
        <w:trPr/>
        <w:tc>
          <w:tcPr>
            <w:tcW w:w="10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10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5,419,340</w:t>
            </w:r>
          </w:p>
        </w:tc>
        <w:tc>
          <w:tcPr>
            <w:tcW w:w="346" w:type="dxa"/>
            <w:tcBorders/>
            <w:vAlign w:val="center"/>
          </w:tcPr>
          <w:p>
            <w:pPr>
              <w:pStyle w:val="TableContents"/>
              <w:bidi w:val="0"/>
              <w:spacing w:before="0" w:after="0"/>
              <w:ind w:left="0" w:right="0" w:hanging="0"/>
              <w:jc w:val="righ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198,030</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19,781</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159,816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00" w:name="Tc_yklad-s8WUSaburQyz2WZA_22_31"/>
      <w:bookmarkStart w:id="601" w:name="Tc_LfPGF0-78UmFIitcZeuPlA_22_28"/>
      <w:bookmarkStart w:id="602" w:name="Tc_QIJnBGFJk0mtGI0Av6a1xA_22_25"/>
      <w:bookmarkStart w:id="603" w:name="Tc_QxsNpjCBKkKZaW-cq8QzTg_22_22"/>
      <w:bookmarkStart w:id="604" w:name="Tc_CqBeqtjR0k-2v0pJYuMJEw_22_19"/>
      <w:bookmarkStart w:id="605" w:name="Tc_rTdAdpA59EqcEDYzX_tbbQ_22_17"/>
      <w:bookmarkStart w:id="606" w:name="Tc_z5VOCXIdJEq60kPFWWY1WA_22_16"/>
      <w:bookmarkStart w:id="607" w:name="Tc_OOBixar3qkumplhFH_WI3A_22_13"/>
      <w:bookmarkStart w:id="608" w:name="Tc_kJudujg9vEuzc3Ijq9t5RA_22_10"/>
      <w:bookmarkStart w:id="609" w:name="Tc_oWkP2fPJB0yPHTuIxYelkQ_22_0"/>
      <w:bookmarkStart w:id="610" w:name="Tc_7ZxJfPUeQUKjlFs9q9xlwg_21_32"/>
      <w:bookmarkStart w:id="611" w:name="Tc_bc4KHhIDWkOMhbIYv7JYNg_21_29"/>
      <w:bookmarkStart w:id="612" w:name="Tc_RZigRyEEkEeLm_ZlbCAmww_21_26"/>
      <w:bookmarkStart w:id="613" w:name="Tc_hfpF_GrmTkir42ft_D9r7Q_21_23"/>
      <w:bookmarkStart w:id="614" w:name="Tc_s9pYNeRvQEWWrIbxuT1t7g_21_20"/>
      <w:bookmarkStart w:id="615" w:name="Tc_qkd8Hq03IUmJ-BEj05GNHg_21_17"/>
      <w:bookmarkStart w:id="616" w:name="Tc_bTfsZyvKn0mMcZnlLHAYUw_21_14"/>
      <w:bookmarkStart w:id="617" w:name="Tc_h8MXuIUgaE-BBJ0ktCgDDg_21_11"/>
      <w:bookmarkStart w:id="618" w:name="Tc_X9Q4r1H3PEeVltInXVBVsA_21_8"/>
      <w:bookmarkStart w:id="619" w:name="Tc_UEMvYDdSPECGlGomurac9A_21_5"/>
      <w:bookmarkStart w:id="620" w:name="Tc_soJ_05JBjUyxhu47nX99kQ_21_2"/>
      <w:bookmarkStart w:id="621" w:name="Tc_QpOHaq-hJUaV-ZH7aTh2jA_21_0"/>
      <w:bookmarkStart w:id="622" w:name="Tc_JPwsw0X2QkCUE8feVmOBPQ_20_32"/>
      <w:bookmarkStart w:id="623" w:name="Tc_Ew8LISfrgEGe-nrSCrtj-w_20_29"/>
      <w:bookmarkStart w:id="624" w:name="Tc_oWOVf7c5LECHLAWT9Nx1bg_20_26"/>
      <w:bookmarkStart w:id="625" w:name="Tc_fNvM2Lpvf0K4xvhPh6Y9GA_20_23"/>
      <w:bookmarkStart w:id="626" w:name="Tc_tQSVK9fzOUi9vlvlpK_54w_20_20"/>
      <w:bookmarkStart w:id="627" w:name="Tc_YK4wT80JUEO30paNyRA50g_20_17"/>
      <w:bookmarkStart w:id="628" w:name="Tc_apYrkaE0D0qeJOQuAHTwNA_20_14"/>
      <w:bookmarkStart w:id="629" w:name="Tc_-7GVyFxxakWGLN1nzfaHjA_20_11"/>
      <w:bookmarkStart w:id="630" w:name="Tc_nifCIwDlo02-ughQmLVEjw_20_8"/>
      <w:bookmarkStart w:id="631" w:name="Tc_6rcGV3K0U0u_L3W5qyITRA_20_5"/>
      <w:bookmarkStart w:id="632" w:name="Tc_-chW_DAb7EeuAkcEsSwYDA_20_2"/>
      <w:bookmarkStart w:id="633" w:name="Tc_c107AebCXkqy4BH3Z1dtwQ_20_0"/>
      <w:bookmarkStart w:id="634" w:name="Tc_nHOZsiC850yxuFOfImNsVQ_19_29"/>
      <w:bookmarkStart w:id="635" w:name="Tc_epJkPrXrIkaNLICFQdBqTw_19_20"/>
      <w:bookmarkStart w:id="636" w:name="Tc_hRWdvOjfmUmBjxgsOiF5_Q_19_17"/>
      <w:bookmarkStart w:id="637" w:name="Tc_FUsY8ZIHq0-8C2or0WScSA_19_14"/>
      <w:bookmarkStart w:id="638" w:name="Tc_liY2OwRYfUaUrFNsypjQ2g_19_11"/>
      <w:bookmarkStart w:id="639" w:name="Tc_qJhSQr63MUaqHkA1GWDHVg_19_8"/>
      <w:bookmarkStart w:id="640" w:name="Tc_oKaIqdASnk2oL7mCwdll2g_19_5"/>
      <w:bookmarkStart w:id="641" w:name="Tc_aTDBoaLZxE24QHrNnP74tQ_19_2"/>
      <w:bookmarkStart w:id="642" w:name="Tc_WWtrkyVAckK4NzAKsC2c3w_19_0"/>
      <w:bookmarkStart w:id="643" w:name="Tc_77jh295Z30WVTy2SqdZE2w_18_29"/>
      <w:bookmarkStart w:id="644" w:name="Tc_nHSJhOB030mLmejM1zQuAA_18_20"/>
      <w:bookmarkStart w:id="645" w:name="Tc_HSlXxqC310-iRSMHLBtLVg_18_17"/>
      <w:bookmarkStart w:id="646" w:name="Tc_DXb2EaEVREG3VwT3gz-pVA_18_14"/>
      <w:bookmarkStart w:id="647" w:name="Tc_s-bnsMbdzUWtZcV_H5pL8A_18_11"/>
      <w:bookmarkStart w:id="648" w:name="Tc_Il2Rc8hlR0SyOb_OpeS0_g_18_8"/>
      <w:bookmarkStart w:id="649" w:name="Tc_MJu0zOKUUkStHPT1dE7yaA_18_5"/>
      <w:bookmarkStart w:id="650" w:name="Tc_Xue0DlXpmUiVNIUgmO0jEw_18_2"/>
      <w:bookmarkStart w:id="651" w:name="Tc_F4SEX8UxBE-BfKWry-yZQQ_18_0"/>
      <w:bookmarkStart w:id="652" w:name="Tc_G5GPoIxJwUyQv1T8h13bkg_17_23"/>
      <w:bookmarkStart w:id="653" w:name="Tc_Xg_aCG7BUUaa28lt0m8nDA_17_17"/>
      <w:bookmarkStart w:id="654" w:name="Tc_1F1D3qx6dk6IpFDjHIIplA_17_14"/>
      <w:bookmarkStart w:id="655" w:name="Tc_yTepG4eL40K0likQ9Kt4Iw_17_11"/>
      <w:bookmarkStart w:id="656" w:name="Tc_E-YLiHzte02h-xoHfT5BVQ_17_8"/>
      <w:bookmarkStart w:id="657" w:name="Tc_XVL4J9DIjUa_9yI9fdpX2w_17_5"/>
      <w:bookmarkStart w:id="658" w:name="Tc_lDOMiqP7hUi4fDLnwplBKw_17_2"/>
      <w:bookmarkStart w:id="659" w:name="Tc_dPuYtrYa10SIm8KdoSUs9g_17_0"/>
      <w:bookmarkStart w:id="660" w:name="Tc_0ke5Lt9c0UGQelaegsLDfQ_15_31"/>
      <w:bookmarkStart w:id="661" w:name="Tc_3JwUDawRYE2odbd33fZUdA_15_28"/>
      <w:bookmarkStart w:id="662" w:name="Tc_QBkP1f94WkeJrFvEw2n2Ug_15_25"/>
      <w:bookmarkStart w:id="663" w:name="Tc_5OjTaLIq102jUKgIAMqR3Q_15_22"/>
      <w:bookmarkStart w:id="664" w:name="Tc_6kXPKrGWq0ajSuDjvqmgsQ_15_19"/>
      <w:bookmarkStart w:id="665" w:name="Tc_XzMvd-HsUECRp7izVQG88g_15_17"/>
      <w:bookmarkStart w:id="666" w:name="Tc_ezyrNeut6UG-zx8u00DX6w_15_16"/>
      <w:bookmarkStart w:id="667" w:name="Tc_uGaLpSJx7UOlEslAiAP-wQ_15_13"/>
      <w:bookmarkStart w:id="668" w:name="Tc_WgW2zcs7H0--UnS3MbSCsA_15_10"/>
      <w:bookmarkStart w:id="669" w:name="Tc_Bap29oSOfkC4s05UNQ6Fjg_15_0"/>
      <w:bookmarkStart w:id="670" w:name="Tc_bPXpNVtaPkS71DJOjhMUXQ_14_29"/>
      <w:bookmarkStart w:id="671" w:name="Tc_Rrj4wUJJyEWvFVZ1e8WuWA_14_23"/>
      <w:bookmarkStart w:id="672" w:name="Tc_fBIIhjqrqECA-gJ3HW_aOg_14_20"/>
      <w:bookmarkStart w:id="673" w:name="Tc_i7ThGPNdmkK7YwyZKkcIAQ_14_17"/>
      <w:bookmarkStart w:id="674" w:name="Tc_ylo7rJtXXEuOiGIq-5q8pg_14_0"/>
      <w:bookmarkStart w:id="675" w:name="Tc_vt1hb7Se2Em9HOHHhE_c_Q_13_29"/>
      <w:bookmarkStart w:id="676" w:name="Tc_VNS79gxTtUuiImkPLVfOHA_13_23"/>
      <w:bookmarkStart w:id="677" w:name="Tc_D9SrRNhoBU6Entq13oK1Gw_13_20"/>
      <w:bookmarkStart w:id="678" w:name="Tc_uY7VM7GUsk-4Y-hjDtEJ5Q_13_17"/>
      <w:bookmarkStart w:id="679" w:name="Tc_jQAkLr0MWEWuemTxsaaMnA_13_5"/>
      <w:bookmarkStart w:id="680" w:name="Tc_Anpt51QYu0CYGbB9BfBvmw_13_2"/>
      <w:bookmarkStart w:id="681" w:name="Tc_-Na2sZd8c0yQ8yQxJzLDvg_13_0"/>
      <w:bookmarkStart w:id="682" w:name="Tc_oZ7sTh7QAUia38f5AFxAWg_12_29"/>
      <w:bookmarkStart w:id="683" w:name="Tc_g8K3pvArUUitjJPtSxEnvA_12_20"/>
      <w:bookmarkStart w:id="684" w:name="Tc_pZ2fJ0LIfkuYN9KcI4Acpw_12_17"/>
      <w:bookmarkStart w:id="685" w:name="Tc_a4OCjf7Y00yUYRo7N8rv2g_12_14"/>
      <w:bookmarkStart w:id="686" w:name="Tc_FW8NeoxvUUKDJVnf-0h3iw_12_11"/>
      <w:bookmarkStart w:id="687" w:name="Tc_PEF4Ly67y0Kt-Jlei4fSBg_12_8"/>
      <w:bookmarkStart w:id="688" w:name="Tc_ayQTySzPUEWbnPm9ckfr1A_12_5"/>
      <w:bookmarkStart w:id="689" w:name="Tc_uM1I5PLfiUalnPyHgena-Q_12_2"/>
      <w:bookmarkStart w:id="690" w:name="Tc_CB7vlaIpCUS-7X0V7z3h2A_12_0"/>
      <w:bookmarkStart w:id="691" w:name="Tc_VMLJJ6L2NEmSseuNRbIZOw_11_29"/>
      <w:bookmarkStart w:id="692" w:name="Tc_vX5CwgBqVEWkckv3rND0Yw_11_20"/>
      <w:bookmarkStart w:id="693" w:name="Tc_w95KGrIiXkijr2BCQ0B3aQ_11_17"/>
      <w:bookmarkStart w:id="694" w:name="Tc_uEOTymMgjkK9bJICZ3myRQ_11_14"/>
      <w:bookmarkStart w:id="695" w:name="Tc_6rZsoipbk0KiaKiLYDlHMQ_11_11"/>
      <w:bookmarkStart w:id="696" w:name="Tc_fCkv3izuIUCcRHhQZLQ0ag_11_8"/>
      <w:bookmarkStart w:id="697" w:name="Tc_vLp-5OnGdE-9tPinWkiVMA_11_5"/>
      <w:bookmarkStart w:id="698" w:name="Tc_YUWoVs7VoUancgwpHLmp-w_11_2"/>
      <w:bookmarkStart w:id="699" w:name="Tc_-lPtbz5jIEWyJZeWgj2TIw_11_0"/>
      <w:bookmarkStart w:id="700" w:name="Tc_3gtOy7nYI0ukef5G4XQLOg_10_23"/>
      <w:bookmarkStart w:id="701" w:name="Tc_4kwQhyJ2ukem9-W_jUBGiA_10_17"/>
      <w:bookmarkStart w:id="702" w:name="Tc_QWdujX2Er02aa12HEX3E5A_10_14"/>
      <w:bookmarkStart w:id="703" w:name="Tc_Pq0-SmdftEaTLs-VJb6Jbw_10_11"/>
      <w:bookmarkStart w:id="704" w:name="Tc_khQR63Nh_UGlI3mdy6nTHw_10_8"/>
      <w:bookmarkStart w:id="705" w:name="Tc_P6-AO6jlU0KfG6nC3KgmMQ_10_5"/>
      <w:bookmarkStart w:id="706" w:name="Tc_HEgyNirC5kCU-sl2dYjmEg_10_2"/>
      <w:bookmarkStart w:id="707" w:name="Tc_CjjVihgqdUereq_Cyy7kSA_10_0"/>
      <w:bookmarkStart w:id="708" w:name="Tc_e0uJ_DAkYk2BDlBl1b8wKA_8_31"/>
      <w:bookmarkStart w:id="709" w:name="Tc_GfF9Gkt6AUu69EmjiradiA_8_28"/>
      <w:bookmarkStart w:id="710" w:name="Tc_DRqSMG0DMECYIkY78Zr-cw_8_25"/>
      <w:bookmarkStart w:id="711" w:name="Tc_jwO8TfwJfUi4NuyamwjViw_8_22"/>
      <w:bookmarkStart w:id="712" w:name="Tc_gCo98n1PFEyr53j7OPuPjA_8_19"/>
      <w:bookmarkStart w:id="713" w:name="Tc_PZkTNLGxR0CSWBax_NoIMQ_8_17"/>
      <w:bookmarkStart w:id="714" w:name="Tc_NBV5oowJxkabu3DDqYGNvQ_8_16"/>
      <w:bookmarkStart w:id="715" w:name="Tc_fvpC6Ykwt0Wuf5W97Hxehw_8_13"/>
      <w:bookmarkStart w:id="716" w:name="Tc__m6oSNdbFkC-yBgyfg0PAw_8_10"/>
      <w:bookmarkStart w:id="717" w:name="Tc_OrJIf3M9zEiOmgNtGTg91g_8_5"/>
      <w:bookmarkStart w:id="718" w:name="Tc_SXV6A8RM3U2t41nMM76gvw_8_2"/>
      <w:bookmarkStart w:id="719" w:name="Tc_4qhbPqj1LUe_c86U9IluqQ_8_0"/>
      <w:bookmarkStart w:id="720" w:name="Tc_whTSUzBOs0aRJGd2ojQEcA_7_32"/>
      <w:bookmarkStart w:id="721" w:name="Tc_9BVErixQlkGxPexFWVIKLw_7_29"/>
      <w:bookmarkStart w:id="722" w:name="Tc_DmKyw14bR0yxW1--PpyMng_7_26"/>
      <w:bookmarkStart w:id="723" w:name="Tc_21SS2L3fJEmVHHZxKMdVJQ_7_23"/>
      <w:bookmarkStart w:id="724" w:name="Tc_9Pt0qCP3Ukaj713yYralnw_7_20"/>
      <w:bookmarkStart w:id="725" w:name="Tc_O2ZuIzKQLkuKg-fslpFnGA_7_5"/>
      <w:bookmarkStart w:id="726" w:name="Tc_L0otA0aW9U6_D82ALCklBw_7_2"/>
      <w:bookmarkStart w:id="727" w:name="Tc_Ra90zAUdEUum7DeRqcIDcQ_7_0"/>
      <w:bookmarkStart w:id="728" w:name="Tc_KWuA985JVE6LsTTuYkQA-A_6_31"/>
      <w:bookmarkStart w:id="729" w:name="Tc_bsl4nuarD0eNbNSgkA3qYg_6_28"/>
      <w:bookmarkStart w:id="730" w:name="Tc_8GmuwKGjOkKENeFflg-D1Q_6_25"/>
      <w:bookmarkStart w:id="731" w:name="Tc_kf0nIiNlYkOqolhGjWKJYQ_6_22"/>
      <w:bookmarkStart w:id="732" w:name="Tc_8GMxkFyfj0qu7sGQHS9OkQ_6_19"/>
      <w:bookmarkStart w:id="733" w:name="Tc_KEkQdBnYEkqD3YKmkofGCA_6_16"/>
      <w:bookmarkStart w:id="734" w:name="Tc_YoHLozQFAUCbIkjQo9BJvw_6_13"/>
      <w:bookmarkStart w:id="735" w:name="Tc_MbosKn0o4k-rLhVr4aBUlg_6_10"/>
      <w:bookmarkStart w:id="736" w:name="Tc_Zu9BHTTixUGlgbLayN6zaA_6_5"/>
      <w:bookmarkStart w:id="737" w:name="Tc_yClkqLsulU2V8nRjiUxBfw_6_4"/>
      <w:bookmarkStart w:id="738" w:name="Tc_U4HuP0RgZUWXVcooaHokdg_6_2"/>
      <w:bookmarkStart w:id="739" w:name="Tc_xjIWu18n8kaIup-c-HDZ7w_6_0"/>
      <w:bookmarkStart w:id="740" w:name="Tc_eDKrEJjW2UOW2wyewm04Tw_5_31"/>
      <w:bookmarkStart w:id="741" w:name="Tc_A0xhyIyp7kSGKonxzEIJ0g_5_28"/>
      <w:bookmarkStart w:id="742" w:name="Tc_bs7geKAq_EOfngPlgQ0OJw_5_25"/>
      <w:bookmarkStart w:id="743" w:name="Tc_5doEU_NKa0e7e54OE2H8Qg_5_22"/>
      <w:bookmarkStart w:id="744" w:name="Tc_wSb4EwjPEEOiY6IBuoAqUA_5_19"/>
      <w:bookmarkStart w:id="745" w:name="Tc_nlsYQMIHPEicW0vf25jKNA_5_16"/>
      <w:bookmarkStart w:id="746" w:name="Tc_HA8gwe2LmEOcEmSJixb-yg_5_13"/>
      <w:bookmarkStart w:id="747" w:name="Tc_aChgN81pu0yRLDJaUNq5dg_5_10"/>
      <w:bookmarkStart w:id="748" w:name="Tc_3xXOoLsZvk21mv_2rA8J7w_5_8"/>
      <w:bookmarkStart w:id="749" w:name="Tc_mEP14sWpxkqBcIO7Ww7MNg_5_4"/>
      <w:bookmarkStart w:id="750" w:name="Tc_qaDMqlBjVESRvYpc4ymVog_5_2"/>
      <w:bookmarkStart w:id="751" w:name="Tc_qKPwIuCLnEOmU_s7_m2SFA_4_31"/>
      <w:bookmarkStart w:id="752" w:name="Tc_xMVBR1dMeUiGqCwQVwP0rQ_4_28"/>
      <w:bookmarkStart w:id="753" w:name="Tc_xLwhQG1tiECzJOPGKe1EyA_4_25"/>
      <w:bookmarkStart w:id="754" w:name="Tc_BDH3I8kqS0Ctxo9H-DlPpg_4_22"/>
      <w:bookmarkStart w:id="755" w:name="Tc_Ja0DfwYJIE26jN_y4Yts2A_4_19"/>
      <w:bookmarkStart w:id="756" w:name="Tc_RxsSckCE1Uiz2iHCQCOHxA_4_16"/>
      <w:bookmarkStart w:id="757" w:name="Tc_K5VMVgK3r0uPy8OzaUd2iQ_4_13"/>
      <w:bookmarkStart w:id="758" w:name="Tc_WiXEPMgSHkm1NN2EFKOXAg_4_10"/>
      <w:bookmarkStart w:id="759" w:name="Tc_KIRP2Tl35E6UT-o6Eqyz8A_4_8"/>
      <w:bookmarkStart w:id="760" w:name="Tc__NUZ-dT7LkyXvs5BCyWtuA_4_4"/>
      <w:bookmarkStart w:id="761" w:name="Tc_oRp0QkxMSk-ztjEGDGUgPA_4_2"/>
      <w:bookmarkStart w:id="762" w:name="Tc_LzKxNqT-aUW0vE5OzCcw0w_3_31"/>
      <w:bookmarkStart w:id="763" w:name="Tc_roB1isniq0G1Hm6vlzKTbw_3_28"/>
      <w:bookmarkStart w:id="764" w:name="Tc_XnHmhVA4ykW5DXBs7SnB7w_3_25"/>
      <w:bookmarkStart w:id="765" w:name="Tc_fGLDliKot0u8QidKq-fbxA_3_22"/>
      <w:bookmarkStart w:id="766" w:name="Tc_h30x-fpsm0mII9h-Qzf3_w_3_8"/>
      <w:bookmarkStart w:id="767" w:name="Tc_r-H7iRdqSkGLwuvAT_LQWQ_3_4"/>
      <w:bookmarkStart w:id="768" w:name="Tc_p7a7fHHt9kSuL1O_1GsuFw_3_2"/>
      <w:bookmarkStart w:id="769" w:name="Tc_rbcDIezAMUWm1YGbIjm7xQ_2_25"/>
      <w:bookmarkStart w:id="770" w:name="Tc_5xCXfpghHkqxpb44HVxmRw_2_22"/>
      <w:bookmarkStart w:id="771" w:name="Tc_iU9JQQ7LwEqUl1g_5HgRIg_2_8"/>
      <w:bookmarkStart w:id="772" w:name="Tc_4wJ7Nbody06p6WjNNxPnBA_2_4"/>
      <w:bookmarkStart w:id="773" w:name="Tc_EgiaAT4VFE-LQR3hj_394Q_2_2"/>
      <w:bookmarkStart w:id="774" w:name="Tc_WcZgmJ-wHEyhM2M_2Z8dfg_1_4"/>
      <w:bookmarkStart w:id="775" w:name="Tc_IoRgMPiUNUqZPom_GZH-XA_1_2"/>
      <w:bookmarkStart w:id="776" w:name="_e7d55658_ec8f_43b8_9104_4d56a9364c49"/>
      <w:bookmarkStart w:id="777" w:name="Tc_yklad-s8WUSaburQyz2WZA_22_31"/>
      <w:bookmarkStart w:id="778" w:name="Tc_LfPGF0-78UmFIitcZeuPlA_22_28"/>
      <w:bookmarkStart w:id="779" w:name="Tc_QIJnBGFJk0mtGI0Av6a1xA_22_25"/>
      <w:bookmarkStart w:id="780" w:name="Tc_QxsNpjCBKkKZaW-cq8QzTg_22_22"/>
      <w:bookmarkStart w:id="781" w:name="Tc_CqBeqtjR0k-2v0pJYuMJEw_22_19"/>
      <w:bookmarkStart w:id="782" w:name="Tc_rTdAdpA59EqcEDYzX_tbbQ_22_17"/>
      <w:bookmarkStart w:id="783" w:name="Tc_z5VOCXIdJEq60kPFWWY1WA_22_16"/>
      <w:bookmarkStart w:id="784" w:name="Tc_OOBixar3qkumplhFH_WI3A_22_13"/>
      <w:bookmarkStart w:id="785" w:name="Tc_kJudujg9vEuzc3Ijq9t5RA_22_10"/>
      <w:bookmarkStart w:id="786" w:name="Tc_oWkP2fPJB0yPHTuIxYelkQ_22_0"/>
      <w:bookmarkStart w:id="787" w:name="Tc_7ZxJfPUeQUKjlFs9q9xlwg_21_32"/>
      <w:bookmarkStart w:id="788" w:name="Tc_bc4KHhIDWkOMhbIYv7JYNg_21_29"/>
      <w:bookmarkStart w:id="789" w:name="Tc_RZigRyEEkEeLm_ZlbCAmww_21_26"/>
      <w:bookmarkStart w:id="790" w:name="Tc_hfpF_GrmTkir42ft_D9r7Q_21_23"/>
      <w:bookmarkStart w:id="791" w:name="Tc_s9pYNeRvQEWWrIbxuT1t7g_21_20"/>
      <w:bookmarkStart w:id="792" w:name="Tc_qkd8Hq03IUmJ-BEj05GNHg_21_17"/>
      <w:bookmarkStart w:id="793" w:name="Tc_bTfsZyvKn0mMcZnlLHAYUw_21_14"/>
      <w:bookmarkStart w:id="794" w:name="Tc_h8MXuIUgaE-BBJ0ktCgDDg_21_11"/>
      <w:bookmarkStart w:id="795" w:name="Tc_X9Q4r1H3PEeVltInXVBVsA_21_8"/>
      <w:bookmarkStart w:id="796" w:name="Tc_UEMvYDdSPECGlGomurac9A_21_5"/>
      <w:bookmarkStart w:id="797" w:name="Tc_soJ_05JBjUyxhu47nX99kQ_21_2"/>
      <w:bookmarkStart w:id="798" w:name="Tc_QpOHaq-hJUaV-ZH7aTh2jA_21_0"/>
      <w:bookmarkStart w:id="799" w:name="Tc_JPwsw0X2QkCUE8feVmOBPQ_20_32"/>
      <w:bookmarkStart w:id="800" w:name="Tc_Ew8LISfrgEGe-nrSCrtj-w_20_29"/>
      <w:bookmarkStart w:id="801" w:name="Tc_oWOVf7c5LECHLAWT9Nx1bg_20_26"/>
      <w:bookmarkStart w:id="802" w:name="Tc_fNvM2Lpvf0K4xvhPh6Y9GA_20_23"/>
      <w:bookmarkStart w:id="803" w:name="Tc_tQSVK9fzOUi9vlvlpK_54w_20_20"/>
      <w:bookmarkStart w:id="804" w:name="Tc_YK4wT80JUEO30paNyRA50g_20_17"/>
      <w:bookmarkStart w:id="805" w:name="Tc_apYrkaE0D0qeJOQuAHTwNA_20_14"/>
      <w:bookmarkStart w:id="806" w:name="Tc_-7GVyFxxakWGLN1nzfaHjA_20_11"/>
      <w:bookmarkStart w:id="807" w:name="Tc_nifCIwDlo02-ughQmLVEjw_20_8"/>
      <w:bookmarkStart w:id="808" w:name="Tc_6rcGV3K0U0u_L3W5qyITRA_20_5"/>
      <w:bookmarkStart w:id="809" w:name="Tc_-chW_DAb7EeuAkcEsSwYDA_20_2"/>
      <w:bookmarkStart w:id="810" w:name="Tc_c107AebCXkqy4BH3Z1dtwQ_20_0"/>
      <w:bookmarkStart w:id="811" w:name="Tc_nHOZsiC850yxuFOfImNsVQ_19_29"/>
      <w:bookmarkStart w:id="812" w:name="Tc_epJkPrXrIkaNLICFQdBqTw_19_20"/>
      <w:bookmarkStart w:id="813" w:name="Tc_hRWdvOjfmUmBjxgsOiF5_Q_19_17"/>
      <w:bookmarkStart w:id="814" w:name="Tc_FUsY8ZIHq0-8C2or0WScSA_19_14"/>
      <w:bookmarkStart w:id="815" w:name="Tc_liY2OwRYfUaUrFNsypjQ2g_19_11"/>
      <w:bookmarkStart w:id="816" w:name="Tc_qJhSQr63MUaqHkA1GWDHVg_19_8"/>
      <w:bookmarkStart w:id="817" w:name="Tc_oKaIqdASnk2oL7mCwdll2g_19_5"/>
      <w:bookmarkStart w:id="818" w:name="Tc_aTDBoaLZxE24QHrNnP74tQ_19_2"/>
      <w:bookmarkStart w:id="819" w:name="Tc_WWtrkyVAckK4NzAKsC2c3w_19_0"/>
      <w:bookmarkStart w:id="820" w:name="Tc_77jh295Z30WVTy2SqdZE2w_18_29"/>
      <w:bookmarkStart w:id="821" w:name="Tc_nHSJhOB030mLmejM1zQuAA_18_20"/>
      <w:bookmarkStart w:id="822" w:name="Tc_HSlXxqC310-iRSMHLBtLVg_18_17"/>
      <w:bookmarkStart w:id="823" w:name="Tc_DXb2EaEVREG3VwT3gz-pVA_18_14"/>
      <w:bookmarkStart w:id="824" w:name="Tc_s-bnsMbdzUWtZcV_H5pL8A_18_11"/>
      <w:bookmarkStart w:id="825" w:name="Tc_Il2Rc8hlR0SyOb_OpeS0_g_18_8"/>
      <w:bookmarkStart w:id="826" w:name="Tc_MJu0zOKUUkStHPT1dE7yaA_18_5"/>
      <w:bookmarkStart w:id="827" w:name="Tc_Xue0DlXpmUiVNIUgmO0jEw_18_2"/>
      <w:bookmarkStart w:id="828" w:name="Tc_F4SEX8UxBE-BfKWry-yZQQ_18_0"/>
      <w:bookmarkStart w:id="829" w:name="Tc_G5GPoIxJwUyQv1T8h13bkg_17_23"/>
      <w:bookmarkStart w:id="830" w:name="Tc_Xg_aCG7BUUaa28lt0m8nDA_17_17"/>
      <w:bookmarkStart w:id="831" w:name="Tc_1F1D3qx6dk6IpFDjHIIplA_17_14"/>
      <w:bookmarkStart w:id="832" w:name="Tc_yTepG4eL40K0likQ9Kt4Iw_17_11"/>
      <w:bookmarkStart w:id="833" w:name="Tc_E-YLiHzte02h-xoHfT5BVQ_17_8"/>
      <w:bookmarkStart w:id="834" w:name="Tc_XVL4J9DIjUa_9yI9fdpX2w_17_5"/>
      <w:bookmarkStart w:id="835" w:name="Tc_lDOMiqP7hUi4fDLnwplBKw_17_2"/>
      <w:bookmarkStart w:id="836" w:name="Tc_dPuYtrYa10SIm8KdoSUs9g_17_0"/>
      <w:bookmarkStart w:id="837" w:name="Tc_0ke5Lt9c0UGQelaegsLDfQ_15_31"/>
      <w:bookmarkStart w:id="838" w:name="Tc_3JwUDawRYE2odbd33fZUdA_15_28"/>
      <w:bookmarkStart w:id="839" w:name="Tc_QBkP1f94WkeJrFvEw2n2Ug_15_25"/>
      <w:bookmarkStart w:id="840" w:name="Tc_5OjTaLIq102jUKgIAMqR3Q_15_22"/>
      <w:bookmarkStart w:id="841" w:name="Tc_6kXPKrGWq0ajSuDjvqmgsQ_15_19"/>
      <w:bookmarkStart w:id="842" w:name="Tc_XzMvd-HsUECRp7izVQG88g_15_17"/>
      <w:bookmarkStart w:id="843" w:name="Tc_ezyrNeut6UG-zx8u00DX6w_15_16"/>
      <w:bookmarkStart w:id="844" w:name="Tc_uGaLpSJx7UOlEslAiAP-wQ_15_13"/>
      <w:bookmarkStart w:id="845" w:name="Tc_WgW2zcs7H0--UnS3MbSCsA_15_10"/>
      <w:bookmarkStart w:id="846" w:name="Tc_Bap29oSOfkC4s05UNQ6Fjg_15_0"/>
      <w:bookmarkStart w:id="847" w:name="Tc_bPXpNVtaPkS71DJOjhMUXQ_14_29"/>
      <w:bookmarkStart w:id="848" w:name="Tc_Rrj4wUJJyEWvFVZ1e8WuWA_14_23"/>
      <w:bookmarkStart w:id="849" w:name="Tc_fBIIhjqrqECA-gJ3HW_aOg_14_20"/>
      <w:bookmarkStart w:id="850" w:name="Tc_i7ThGPNdmkK7YwyZKkcIAQ_14_17"/>
      <w:bookmarkStart w:id="851" w:name="Tc_ylo7rJtXXEuOiGIq-5q8pg_14_0"/>
      <w:bookmarkStart w:id="852" w:name="Tc_vt1hb7Se2Em9HOHHhE_c_Q_13_29"/>
      <w:bookmarkStart w:id="853" w:name="Tc_VNS79gxTtUuiImkPLVfOHA_13_23"/>
      <w:bookmarkStart w:id="854" w:name="Tc_D9SrRNhoBU6Entq13oK1Gw_13_20"/>
      <w:bookmarkStart w:id="855" w:name="Tc_uY7VM7GUsk-4Y-hjDtEJ5Q_13_17"/>
      <w:bookmarkStart w:id="856" w:name="Tc_jQAkLr0MWEWuemTxsaaMnA_13_5"/>
      <w:bookmarkStart w:id="857" w:name="Tc_Anpt51QYu0CYGbB9BfBvmw_13_2"/>
      <w:bookmarkStart w:id="858" w:name="Tc_-Na2sZd8c0yQ8yQxJzLDvg_13_0"/>
      <w:bookmarkStart w:id="859" w:name="Tc_oZ7sTh7QAUia38f5AFxAWg_12_29"/>
      <w:bookmarkStart w:id="860" w:name="Tc_g8K3pvArUUitjJPtSxEnvA_12_20"/>
      <w:bookmarkStart w:id="861" w:name="Tc_pZ2fJ0LIfkuYN9KcI4Acpw_12_17"/>
      <w:bookmarkStart w:id="862" w:name="Tc_a4OCjf7Y00yUYRo7N8rv2g_12_14"/>
      <w:bookmarkStart w:id="863" w:name="Tc_FW8NeoxvUUKDJVnf-0h3iw_12_11"/>
      <w:bookmarkStart w:id="864" w:name="Tc_PEF4Ly67y0Kt-Jlei4fSBg_12_8"/>
      <w:bookmarkStart w:id="865" w:name="Tc_ayQTySzPUEWbnPm9ckfr1A_12_5"/>
      <w:bookmarkStart w:id="866" w:name="Tc_uM1I5PLfiUalnPyHgena-Q_12_2"/>
      <w:bookmarkStart w:id="867" w:name="Tc_CB7vlaIpCUS-7X0V7z3h2A_12_0"/>
      <w:bookmarkStart w:id="868" w:name="Tc_VMLJJ6L2NEmSseuNRbIZOw_11_29"/>
      <w:bookmarkStart w:id="869" w:name="Tc_vX5CwgBqVEWkckv3rND0Yw_11_20"/>
      <w:bookmarkStart w:id="870" w:name="Tc_w95KGrIiXkijr2BCQ0B3aQ_11_17"/>
      <w:bookmarkStart w:id="871" w:name="Tc_uEOTymMgjkK9bJICZ3myRQ_11_14"/>
      <w:bookmarkStart w:id="872" w:name="Tc_6rZsoipbk0KiaKiLYDlHMQ_11_11"/>
      <w:bookmarkStart w:id="873" w:name="Tc_fCkv3izuIUCcRHhQZLQ0ag_11_8"/>
      <w:bookmarkStart w:id="874" w:name="Tc_vLp-5OnGdE-9tPinWkiVMA_11_5"/>
      <w:bookmarkStart w:id="875" w:name="Tc_YUWoVs7VoUancgwpHLmp-w_11_2"/>
      <w:bookmarkStart w:id="876" w:name="Tc_-lPtbz5jIEWyJZeWgj2TIw_11_0"/>
      <w:bookmarkStart w:id="877" w:name="Tc_3gtOy7nYI0ukef5G4XQLOg_10_23"/>
      <w:bookmarkStart w:id="878" w:name="Tc_4kwQhyJ2ukem9-W_jUBGiA_10_17"/>
      <w:bookmarkStart w:id="879" w:name="Tc_QWdujX2Er02aa12HEX3E5A_10_14"/>
      <w:bookmarkStart w:id="880" w:name="Tc_Pq0-SmdftEaTLs-VJb6Jbw_10_11"/>
      <w:bookmarkStart w:id="881" w:name="Tc_khQR63Nh_UGlI3mdy6nTHw_10_8"/>
      <w:bookmarkStart w:id="882" w:name="Tc_P6-AO6jlU0KfG6nC3KgmMQ_10_5"/>
      <w:bookmarkStart w:id="883" w:name="Tc_HEgyNirC5kCU-sl2dYjmEg_10_2"/>
      <w:bookmarkStart w:id="884" w:name="Tc_CjjVihgqdUereq_Cyy7kSA_10_0"/>
      <w:bookmarkStart w:id="885" w:name="Tc_e0uJ_DAkYk2BDlBl1b8wKA_8_31"/>
      <w:bookmarkStart w:id="886" w:name="Tc_GfF9Gkt6AUu69EmjiradiA_8_28"/>
      <w:bookmarkStart w:id="887" w:name="Tc_DRqSMG0DMECYIkY78Zr-cw_8_25"/>
      <w:bookmarkStart w:id="888" w:name="Tc_jwO8TfwJfUi4NuyamwjViw_8_22"/>
      <w:bookmarkStart w:id="889" w:name="Tc_gCo98n1PFEyr53j7OPuPjA_8_19"/>
      <w:bookmarkStart w:id="890" w:name="Tc_PZkTNLGxR0CSWBax_NoIMQ_8_17"/>
      <w:bookmarkStart w:id="891" w:name="Tc_NBV5oowJxkabu3DDqYGNvQ_8_16"/>
      <w:bookmarkStart w:id="892" w:name="Tc_fvpC6Ykwt0Wuf5W97Hxehw_8_13"/>
      <w:bookmarkStart w:id="893" w:name="Tc__m6oSNdbFkC-yBgyfg0PAw_8_10"/>
      <w:bookmarkStart w:id="894" w:name="Tc_OrJIf3M9zEiOmgNtGTg91g_8_5"/>
      <w:bookmarkStart w:id="895" w:name="Tc_SXV6A8RM3U2t41nMM76gvw_8_2"/>
      <w:bookmarkStart w:id="896" w:name="Tc_4qhbPqj1LUe_c86U9IluqQ_8_0"/>
      <w:bookmarkStart w:id="897" w:name="Tc_whTSUzBOs0aRJGd2ojQEcA_7_32"/>
      <w:bookmarkStart w:id="898" w:name="Tc_9BVErixQlkGxPexFWVIKLw_7_29"/>
      <w:bookmarkStart w:id="899" w:name="Tc_DmKyw14bR0yxW1--PpyMng_7_26"/>
      <w:bookmarkStart w:id="900" w:name="Tc_21SS2L3fJEmVHHZxKMdVJQ_7_23"/>
      <w:bookmarkStart w:id="901" w:name="Tc_9Pt0qCP3Ukaj713yYralnw_7_20"/>
      <w:bookmarkStart w:id="902" w:name="Tc_O2ZuIzKQLkuKg-fslpFnGA_7_5"/>
      <w:bookmarkStart w:id="903" w:name="Tc_L0otA0aW9U6_D82ALCklBw_7_2"/>
      <w:bookmarkStart w:id="904" w:name="Tc_Ra90zAUdEUum7DeRqcIDcQ_7_0"/>
      <w:bookmarkStart w:id="905" w:name="Tc_KWuA985JVE6LsTTuYkQA-A_6_31"/>
      <w:bookmarkStart w:id="906" w:name="Tc_bsl4nuarD0eNbNSgkA3qYg_6_28"/>
      <w:bookmarkStart w:id="907" w:name="Tc_8GmuwKGjOkKENeFflg-D1Q_6_25"/>
      <w:bookmarkStart w:id="908" w:name="Tc_kf0nIiNlYkOqolhGjWKJYQ_6_22"/>
      <w:bookmarkStart w:id="909" w:name="Tc_8GMxkFyfj0qu7sGQHS9OkQ_6_19"/>
      <w:bookmarkStart w:id="910" w:name="Tc_KEkQdBnYEkqD3YKmkofGCA_6_16"/>
      <w:bookmarkStart w:id="911" w:name="Tc_YoHLozQFAUCbIkjQo9BJvw_6_13"/>
      <w:bookmarkStart w:id="912" w:name="Tc_MbosKn0o4k-rLhVr4aBUlg_6_10"/>
      <w:bookmarkStart w:id="913" w:name="Tc_Zu9BHTTixUGlgbLayN6zaA_6_5"/>
      <w:bookmarkStart w:id="914" w:name="Tc_yClkqLsulU2V8nRjiUxBfw_6_4"/>
      <w:bookmarkStart w:id="915" w:name="Tc_U4HuP0RgZUWXVcooaHokdg_6_2"/>
      <w:bookmarkStart w:id="916" w:name="Tc_xjIWu18n8kaIup-c-HDZ7w_6_0"/>
      <w:bookmarkStart w:id="917" w:name="Tc_eDKrEJjW2UOW2wyewm04Tw_5_31"/>
      <w:bookmarkStart w:id="918" w:name="Tc_A0xhyIyp7kSGKonxzEIJ0g_5_28"/>
      <w:bookmarkStart w:id="919" w:name="Tc_bs7geKAq_EOfngPlgQ0OJw_5_25"/>
      <w:bookmarkStart w:id="920" w:name="Tc_5doEU_NKa0e7e54OE2H8Qg_5_22"/>
      <w:bookmarkStart w:id="921" w:name="Tc_wSb4EwjPEEOiY6IBuoAqUA_5_19"/>
      <w:bookmarkStart w:id="922" w:name="Tc_nlsYQMIHPEicW0vf25jKNA_5_16"/>
      <w:bookmarkStart w:id="923" w:name="Tc_HA8gwe2LmEOcEmSJixb-yg_5_13"/>
      <w:bookmarkStart w:id="924" w:name="Tc_aChgN81pu0yRLDJaUNq5dg_5_10"/>
      <w:bookmarkStart w:id="925" w:name="Tc_3xXOoLsZvk21mv_2rA8J7w_5_8"/>
      <w:bookmarkStart w:id="926" w:name="Tc_mEP14sWpxkqBcIO7Ww7MNg_5_4"/>
      <w:bookmarkStart w:id="927" w:name="Tc_qaDMqlBjVESRvYpc4ymVog_5_2"/>
      <w:bookmarkStart w:id="928" w:name="Tc_qKPwIuCLnEOmU_s7_m2SFA_4_31"/>
      <w:bookmarkStart w:id="929" w:name="Tc_xMVBR1dMeUiGqCwQVwP0rQ_4_28"/>
      <w:bookmarkStart w:id="930" w:name="Tc_xLwhQG1tiECzJOPGKe1EyA_4_25"/>
      <w:bookmarkStart w:id="931" w:name="Tc_BDH3I8kqS0Ctxo9H-DlPpg_4_22"/>
      <w:bookmarkStart w:id="932" w:name="Tc_Ja0DfwYJIE26jN_y4Yts2A_4_19"/>
      <w:bookmarkStart w:id="933" w:name="Tc_RxsSckCE1Uiz2iHCQCOHxA_4_16"/>
      <w:bookmarkStart w:id="934" w:name="Tc_K5VMVgK3r0uPy8OzaUd2iQ_4_13"/>
      <w:bookmarkStart w:id="935" w:name="Tc_WiXEPMgSHkm1NN2EFKOXAg_4_10"/>
      <w:bookmarkStart w:id="936" w:name="Tc_KIRP2Tl35E6UT-o6Eqyz8A_4_8"/>
      <w:bookmarkStart w:id="937" w:name="Tc__NUZ-dT7LkyXvs5BCyWtuA_4_4"/>
      <w:bookmarkStart w:id="938" w:name="Tc_oRp0QkxMSk-ztjEGDGUgPA_4_2"/>
      <w:bookmarkStart w:id="939" w:name="Tc_LzKxNqT-aUW0vE5OzCcw0w_3_31"/>
      <w:bookmarkStart w:id="940" w:name="Tc_roB1isniq0G1Hm6vlzKTbw_3_28"/>
      <w:bookmarkStart w:id="941" w:name="Tc_XnHmhVA4ykW5DXBs7SnB7w_3_25"/>
      <w:bookmarkStart w:id="942" w:name="Tc_fGLDliKot0u8QidKq-fbxA_3_22"/>
      <w:bookmarkStart w:id="943" w:name="Tc_h30x-fpsm0mII9h-Qzf3_w_3_8"/>
      <w:bookmarkStart w:id="944" w:name="Tc_r-H7iRdqSkGLwuvAT_LQWQ_3_4"/>
      <w:bookmarkStart w:id="945" w:name="Tc_p7a7fHHt9kSuL1O_1GsuFw_3_2"/>
      <w:bookmarkStart w:id="946" w:name="Tc_rbcDIezAMUWm1YGbIjm7xQ_2_25"/>
      <w:bookmarkStart w:id="947" w:name="Tc_5xCXfpghHkqxpb44HVxmRw_2_22"/>
      <w:bookmarkStart w:id="948" w:name="Tc_iU9JQQ7LwEqUl1g_5HgRIg_2_8"/>
      <w:bookmarkStart w:id="949" w:name="Tc_4wJ7Nbody06p6WjNNxPnBA_2_4"/>
      <w:bookmarkStart w:id="950" w:name="Tc_EgiaAT4VFE-LQR3hj_394Q_2_2"/>
      <w:bookmarkStart w:id="951" w:name="Tc_WcZgmJ-wHEyhM2M_2Z8dfg_1_4"/>
      <w:bookmarkStart w:id="952" w:name="Tc_IoRgMPiUNUqZPom_GZH-XA_1_2"/>
      <w:bookmarkStart w:id="953" w:name="_e7d55658_ec8f_43b8_9104_4d56a9364c49"/>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tbl>
      <w:tblPr>
        <w:tblW w:w="15808" w:type="dxa"/>
        <w:jc w:val="left"/>
        <w:tblInd w:w="0" w:type="dxa"/>
        <w:tblLayout w:type="fixed"/>
        <w:tblCellMar>
          <w:top w:w="0" w:type="dxa"/>
          <w:left w:w="0" w:type="dxa"/>
          <w:bottom w:w="0" w:type="dxa"/>
          <w:right w:w="0" w:type="dxa"/>
        </w:tblCellMar>
      </w:tblPr>
      <w:tblGrid>
        <w:gridCol w:w="1231"/>
        <w:gridCol w:w="346"/>
        <w:gridCol w:w="871"/>
        <w:gridCol w:w="346"/>
        <w:gridCol w:w="290"/>
        <w:gridCol w:w="581"/>
        <w:gridCol w:w="226"/>
        <w:gridCol w:w="226"/>
        <w:gridCol w:w="1201"/>
        <w:gridCol w:w="346"/>
        <w:gridCol w:w="211"/>
        <w:gridCol w:w="631"/>
        <w:gridCol w:w="346"/>
        <w:gridCol w:w="211"/>
        <w:gridCol w:w="781"/>
        <w:gridCol w:w="346"/>
        <w:gridCol w:w="255"/>
        <w:gridCol w:w="511"/>
        <w:gridCol w:w="346"/>
        <w:gridCol w:w="211"/>
        <w:gridCol w:w="736"/>
        <w:gridCol w:w="346"/>
        <w:gridCol w:w="260"/>
        <w:gridCol w:w="911"/>
        <w:gridCol w:w="346"/>
        <w:gridCol w:w="213"/>
        <w:gridCol w:w="793"/>
        <w:gridCol w:w="346"/>
        <w:gridCol w:w="211"/>
        <w:gridCol w:w="690"/>
        <w:gridCol w:w="346"/>
        <w:gridCol w:w="211"/>
        <w:gridCol w:w="886"/>
      </w:tblGrid>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53085" cy="175260"/>
                      <wp:effectExtent l="0" t="0" r="0" b="0"/>
                      <wp:wrapNone/>
                      <wp:docPr id="68" name="Frame6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4150" cy="175260"/>
                      <wp:effectExtent l="0" t="0" r="0" b="0"/>
                      <wp:wrapNone/>
                      <wp:docPr id="70" name="Frame70"/>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8935" cy="175260"/>
                      <wp:effectExtent l="0" t="0" r="0" b="0"/>
                      <wp:wrapNone/>
                      <wp:docPr id="71" name="Frame71"/>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3510" cy="175260"/>
                      <wp:effectExtent l="0" t="0" r="0" b="0"/>
                      <wp:wrapNone/>
                      <wp:docPr id="72" name="Frame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510" cy="175260"/>
                      <wp:effectExtent l="0" t="0" r="0" b="0"/>
                      <wp:wrapNone/>
                      <wp:docPr id="73" name="Frame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62635" cy="175260"/>
                      <wp:effectExtent l="0" t="0" r="0" b="0"/>
                      <wp:wrapNone/>
                      <wp:docPr id="74" name="Frame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0685" cy="175260"/>
                      <wp:effectExtent l="0" t="0" r="0" b="0"/>
                      <wp:wrapNone/>
                      <wp:docPr id="77" name="Frame7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1925" cy="175260"/>
                      <wp:effectExtent l="0" t="0" r="0" b="0"/>
                      <wp:wrapNone/>
                      <wp:docPr id="82" name="Frame8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24485" cy="175260"/>
                      <wp:effectExtent l="0" t="0" r="0" b="0"/>
                      <wp:wrapNone/>
                      <wp:docPr id="83" name="Frame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67360" cy="175260"/>
                      <wp:effectExtent l="0" t="0" r="0" b="0"/>
                      <wp:wrapNone/>
                      <wp:docPr id="86" name="Frame8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5100" cy="175260"/>
                      <wp:effectExtent l="0" t="0" r="0" b="0"/>
                      <wp:wrapNone/>
                      <wp:docPr id="88" name="Frame8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78485" cy="175260"/>
                      <wp:effectExtent l="0" t="0" r="0" b="0"/>
                      <wp:wrapNone/>
                      <wp:docPr id="89" name="Frame8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5255" cy="175260"/>
                      <wp:effectExtent l="0" t="0" r="0" b="0"/>
                      <wp:wrapNone/>
                      <wp:docPr id="91" name="Frame9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03555" cy="175260"/>
                      <wp:effectExtent l="0" t="0" r="0" b="0"/>
                      <wp:wrapNone/>
                      <wp:docPr id="92" name="Frame9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150" cy="175260"/>
                      <wp:effectExtent l="0" t="0" r="0" b="0"/>
                      <wp:wrapNone/>
                      <wp:docPr id="95" name="Frame9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8" name="Frame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Mezzanine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Mezzanine</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C</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C</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Viskase</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Issued </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comprehensive </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(Shares)</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Stock </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stock </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Interest </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1, 2026 (as previously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134,617,157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212,037</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144,360</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Retroactive application of Merger</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(128,005,058)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6,612,099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213,019</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144,360</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of common stock</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1,270,288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14,987</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consideration issued for acquisition (Note 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6,449,233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39,952</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40,016</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2026</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14,331,620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267,958</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(18,570)</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(57,331)</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190,684</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 net of tax</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consideration issued for acquisition (Note 2)</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14,331,620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(23,632)</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185,213</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54" w:name="_949417e1_61ec_43a4_86ab_452517910c4c"/>
      <w:bookmarkEnd w:id="954"/>
      <w:r>
        <w:rPr>
          <w:rFonts w:ascii="Times New Roman;Times;serif" w:hAnsi="Times New Roman;Times;serif"/>
          <w:b/>
          <w:sz w:val="20"/>
        </w:rPr>
        <w:t>VISKASE HOLDINGS, INC. AND SUBSIDIARIES</w:t>
      </w:r>
    </w:p>
    <w:p>
      <w:pPr>
        <w:pStyle w:val="TextBody"/>
        <w:bidi w:val="0"/>
        <w:spacing w:before="0" w:after="0"/>
        <w:ind w:left="0" w:right="0" w:hanging="0"/>
        <w:jc w:val="center"/>
        <w:rPr>
          <w:rFonts w:ascii="Times New Roman;Times;serif" w:hAnsi="Times New Roman;Times;serif"/>
          <w:b/>
          <w:sz w:val="20"/>
        </w:rPr>
      </w:pPr>
      <w:bookmarkStart w:id="955" w:name="CONDENSEDCONSOLIDATEDSTATEMENTSOFCASHFLO"/>
      <w:bookmarkEnd w:id="95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56" w:name="Tc_LVfm7axcmkCV9yuldvdXGA_48_6"/>
      <w:bookmarkStart w:id="957" w:name="Tc_kZw7ULKGcEyGNKG5NLIs9g_48_5"/>
      <w:bookmarkStart w:id="958" w:name="Tc_bSGwlCYhSkmVpvICI0wGjA_48_2"/>
      <w:bookmarkStart w:id="959" w:name="Tc_ARNsPawq2kC2W_cf2vFr9g_48_0"/>
      <w:bookmarkStart w:id="960" w:name="Tc_NHEjrPzBBEuf02qjWbC2bw_47_5"/>
      <w:bookmarkStart w:id="961" w:name="Tc_eegFk9Vy7kyD9BfkJwbpxw_47_2"/>
      <w:bookmarkStart w:id="962" w:name="Tc_TiaEhW1soUWbmOmFRhnj5g_47_0"/>
      <w:bookmarkStart w:id="963" w:name="Tc_vpCTLpBJJUikw8xrUxqPPw_46_5"/>
      <w:bookmarkStart w:id="964" w:name="Tc_PPL-1gNMq0m6cObi2esimg_46_2"/>
      <w:bookmarkStart w:id="965" w:name="Tc_600G_2c1d0iI08RkIxVoig_46_0"/>
      <w:bookmarkStart w:id="966" w:name="Tc_6IiM_iIzKkChE93xxotq5Q_45_0"/>
      <w:bookmarkStart w:id="967" w:name="Tc_UDVX8R5v3EW52VJP06ZD0Q_43_5"/>
      <w:bookmarkStart w:id="968" w:name="Tc_aRL8MBPtSUCr62QkpVyFFQ_43_2"/>
      <w:bookmarkStart w:id="969" w:name="Tc_zX_EzIqw8ESvgF6NucqyTg_43_0"/>
      <w:bookmarkStart w:id="970" w:name="Tc_2fCjXrSWG063eOOeWSMrfw_42_0"/>
      <w:bookmarkStart w:id="971" w:name="Tc_hS0ybu6UgEKxkk8lFxn0kw_41_0"/>
      <w:bookmarkStart w:id="972" w:name="Tc_GI-s8EKNGE23ZAh2Q5cDmA_40_0"/>
      <w:bookmarkStart w:id="973" w:name="Tc_Ay3QGmzXAU2JSJ8Pod3qrw_38_0"/>
      <w:bookmarkStart w:id="974" w:name="Tc_2Ma-C3YxY06ry-fzpKbcKg_37_0"/>
      <w:bookmarkStart w:id="975" w:name="Tc_aYzc6-Xwn06bvXRTFgbw7g_36_0"/>
      <w:bookmarkStart w:id="976" w:name="Tc_qqNlJ8ADPk2FPKf8lR8q4g_35_0"/>
      <w:bookmarkStart w:id="977" w:name="Tc_7ISmyXtaHUW3xYhdsDFdmw_34_0"/>
      <w:bookmarkStart w:id="978" w:name="Tc_Iad3box50kWY_qz4N7vYtg_33_6"/>
      <w:bookmarkStart w:id="979" w:name="Tc_q-CBE18lCkOrO81MsUiP9w_33_0"/>
      <w:bookmarkStart w:id="980" w:name="Tc_78splBgBWUqmtFuJUMFYIA_32_0"/>
      <w:bookmarkStart w:id="981" w:name="Tc_HlH9O5q0c0Wl_5CNMU4NtQ_30_0"/>
      <w:bookmarkStart w:id="982" w:name="Tc_0z_0aLfgm0-abGtixt1p2Q_29_0"/>
      <w:bookmarkStart w:id="983" w:name="Tc_OM6w3N4i0UON1jhHGb4KmA_28_0"/>
      <w:bookmarkStart w:id="984" w:name="Tc_Z8NFpGgCOEGjROxhMS1Jog_26_0"/>
      <w:bookmarkStart w:id="985" w:name="Tc_LV4h1X_eYE-qBHe13AvImw_24_0"/>
      <w:bookmarkStart w:id="986" w:name="Tc_laIjBM3fCk6SI-E-1GTfQw_23_0"/>
      <w:bookmarkStart w:id="987" w:name="Tc_yQ_SFrzKHUCfGAT4H8WV4A_22_0"/>
      <w:bookmarkStart w:id="988" w:name="Tc_OytuNYzrRkurkkSVGgv1Rw_21_0"/>
      <w:bookmarkStart w:id="989" w:name="Tc_8d7ovSrZ2UKna_PF8TyYzA_20_0"/>
      <w:bookmarkStart w:id="990" w:name="Tc_S5BfTv4x50yjrj7n5R5CcQ_19_0"/>
      <w:bookmarkStart w:id="991" w:name="Tc_H5j0JmITVU62C5vxPjkfzg_18_0"/>
      <w:bookmarkStart w:id="992" w:name="Tc_3z0m4d-QKEaInpUVlMGnWw_17_0"/>
      <w:bookmarkStart w:id="993" w:name="Tc_WBMFEepC9kCfFNzJFATV4w_16_0"/>
      <w:bookmarkStart w:id="994" w:name="Tc_buZ20QCcgke8Nlqs8x62DA_15_0"/>
      <w:bookmarkStart w:id="995" w:name="Tc_1og0WBp1-0qzcDoGvvI2cA_13_0"/>
      <w:bookmarkStart w:id="996" w:name="Tc_V80vAZt_2E2T8O82DLJyKw_12_6"/>
      <w:bookmarkStart w:id="997" w:name="Tc_IcixJsq1HkiEmNy4vEUZPA_12_0"/>
      <w:bookmarkStart w:id="998" w:name="Tc_-nnptrLlMEKeDTwzo7zyOQ_11_0"/>
      <w:bookmarkStart w:id="999" w:name="Tc_yT2PNeTRB0S8ONiceneIDQ_10_0"/>
      <w:bookmarkStart w:id="1000" w:name="Tc_ujPCk-H2xESF6zoMsr6lgA_9_0"/>
      <w:bookmarkStart w:id="1001" w:name="Tc_E011XAqgdUynTgKgER1vkw_8_0"/>
      <w:bookmarkStart w:id="1002" w:name="Tc_j1NiYWjeJ0ywOk3YN-RxTg_6_5"/>
      <w:bookmarkStart w:id="1003" w:name="Tc_MM5waV99oEuH6wXcdZxMyg_6_2"/>
      <w:bookmarkStart w:id="1004" w:name="Tc_hMhJAyGrzU6tjYaL9iKsEQ_6_0"/>
      <w:bookmarkStart w:id="1005" w:name="Tc_DvvV1WDosUmnQvI2P6TE6Q_5_0"/>
      <w:bookmarkStart w:id="1006" w:name="Tc_wUKv3lONskiMiWCKwo1npQ_3_5"/>
      <w:bookmarkStart w:id="1007" w:name="Tc_UX8OLuT9Fk28wJk9vwe93g_3_2"/>
      <w:bookmarkStart w:id="1008" w:name="Tc_u14ItC1XF0S-zx5hK3Aa3Q_2_5"/>
      <w:bookmarkStart w:id="1009" w:name="Tc_1xM7oqDteEmglJeCW3VYIw_2_2"/>
      <w:bookmarkStart w:id="1010" w:name="Tc_s9hwlDJJVk6HBP22uvCEyQ_1_5"/>
      <w:bookmarkStart w:id="1011" w:name="Tc_7Y9pmF01KEuygBwWcRZTjw_1_2"/>
      <w:bookmarkStart w:id="1012" w:name="_a73237d2_b301_4067_8aeb_e7e31edb91b5"/>
      <w:bookmarkStart w:id="1013" w:name="Tc_LVfm7axcmkCV9yuldvdXGA_48_6"/>
      <w:bookmarkStart w:id="1014" w:name="Tc_kZw7ULKGcEyGNKG5NLIs9g_48_5"/>
      <w:bookmarkStart w:id="1015" w:name="Tc_bSGwlCYhSkmVpvICI0wGjA_48_2"/>
      <w:bookmarkStart w:id="1016" w:name="Tc_ARNsPawq2kC2W_cf2vFr9g_48_0"/>
      <w:bookmarkStart w:id="1017" w:name="Tc_NHEjrPzBBEuf02qjWbC2bw_47_5"/>
      <w:bookmarkStart w:id="1018" w:name="Tc_eegFk9Vy7kyD9BfkJwbpxw_47_2"/>
      <w:bookmarkStart w:id="1019" w:name="Tc_TiaEhW1soUWbmOmFRhnj5g_47_0"/>
      <w:bookmarkStart w:id="1020" w:name="Tc_vpCTLpBJJUikw8xrUxqPPw_46_5"/>
      <w:bookmarkStart w:id="1021" w:name="Tc_PPL-1gNMq0m6cObi2esimg_46_2"/>
      <w:bookmarkStart w:id="1022" w:name="Tc_600G_2c1d0iI08RkIxVoig_46_0"/>
      <w:bookmarkStart w:id="1023" w:name="Tc_6IiM_iIzKkChE93xxotq5Q_45_0"/>
      <w:bookmarkStart w:id="1024" w:name="Tc_UDVX8R5v3EW52VJP06ZD0Q_43_5"/>
      <w:bookmarkStart w:id="1025" w:name="Tc_aRL8MBPtSUCr62QkpVyFFQ_43_2"/>
      <w:bookmarkStart w:id="1026" w:name="Tc_zX_EzIqw8ESvgF6NucqyTg_43_0"/>
      <w:bookmarkStart w:id="1027" w:name="Tc_2fCjXrSWG063eOOeWSMrfw_42_0"/>
      <w:bookmarkStart w:id="1028" w:name="Tc_hS0ybu6UgEKxkk8lFxn0kw_41_0"/>
      <w:bookmarkStart w:id="1029" w:name="Tc_GI-s8EKNGE23ZAh2Q5cDmA_40_0"/>
      <w:bookmarkStart w:id="1030" w:name="Tc_Ay3QGmzXAU2JSJ8Pod3qrw_38_0"/>
      <w:bookmarkStart w:id="1031" w:name="Tc_2Ma-C3YxY06ry-fzpKbcKg_37_0"/>
      <w:bookmarkStart w:id="1032" w:name="Tc_aYzc6-Xwn06bvXRTFgbw7g_36_0"/>
      <w:bookmarkStart w:id="1033" w:name="Tc_qqNlJ8ADPk2FPKf8lR8q4g_35_0"/>
      <w:bookmarkStart w:id="1034" w:name="Tc_7ISmyXtaHUW3xYhdsDFdmw_34_0"/>
      <w:bookmarkStart w:id="1035" w:name="Tc_Iad3box50kWY_qz4N7vYtg_33_6"/>
      <w:bookmarkStart w:id="1036" w:name="Tc_q-CBE18lCkOrO81MsUiP9w_33_0"/>
      <w:bookmarkStart w:id="1037" w:name="Tc_78splBgBWUqmtFuJUMFYIA_32_0"/>
      <w:bookmarkStart w:id="1038" w:name="Tc_HlH9O5q0c0Wl_5CNMU4NtQ_30_0"/>
      <w:bookmarkStart w:id="1039" w:name="Tc_0z_0aLfgm0-abGtixt1p2Q_29_0"/>
      <w:bookmarkStart w:id="1040" w:name="Tc_OM6w3N4i0UON1jhHGb4KmA_28_0"/>
      <w:bookmarkStart w:id="1041" w:name="Tc_Z8NFpGgCOEGjROxhMS1Jog_26_0"/>
      <w:bookmarkStart w:id="1042" w:name="Tc_LV4h1X_eYE-qBHe13AvImw_24_0"/>
      <w:bookmarkStart w:id="1043" w:name="Tc_laIjBM3fCk6SI-E-1GTfQw_23_0"/>
      <w:bookmarkStart w:id="1044" w:name="Tc_yQ_SFrzKHUCfGAT4H8WV4A_22_0"/>
      <w:bookmarkStart w:id="1045" w:name="Tc_OytuNYzrRkurkkSVGgv1Rw_21_0"/>
      <w:bookmarkStart w:id="1046" w:name="Tc_8d7ovSrZ2UKna_PF8TyYzA_20_0"/>
      <w:bookmarkStart w:id="1047" w:name="Tc_S5BfTv4x50yjrj7n5R5CcQ_19_0"/>
      <w:bookmarkStart w:id="1048" w:name="Tc_H5j0JmITVU62C5vxPjkfzg_18_0"/>
      <w:bookmarkStart w:id="1049" w:name="Tc_3z0m4d-QKEaInpUVlMGnWw_17_0"/>
      <w:bookmarkStart w:id="1050" w:name="Tc_WBMFEepC9kCfFNzJFATV4w_16_0"/>
      <w:bookmarkStart w:id="1051" w:name="Tc_buZ20QCcgke8Nlqs8x62DA_15_0"/>
      <w:bookmarkStart w:id="1052" w:name="Tc_1og0WBp1-0qzcDoGvvI2cA_13_0"/>
      <w:bookmarkStart w:id="1053" w:name="Tc_V80vAZt_2E2T8O82DLJyKw_12_6"/>
      <w:bookmarkStart w:id="1054" w:name="Tc_IcixJsq1HkiEmNy4vEUZPA_12_0"/>
      <w:bookmarkStart w:id="1055" w:name="Tc_-nnptrLlMEKeDTwzo7zyOQ_11_0"/>
      <w:bookmarkStart w:id="1056" w:name="Tc_yT2PNeTRB0S8ONiceneIDQ_10_0"/>
      <w:bookmarkStart w:id="1057" w:name="Tc_ujPCk-H2xESF6zoMsr6lgA_9_0"/>
      <w:bookmarkStart w:id="1058" w:name="Tc_E011XAqgdUynTgKgER1vkw_8_0"/>
      <w:bookmarkStart w:id="1059" w:name="Tc_j1NiYWjeJ0ywOk3YN-RxTg_6_5"/>
      <w:bookmarkStart w:id="1060" w:name="Tc_MM5waV99oEuH6wXcdZxMyg_6_2"/>
      <w:bookmarkStart w:id="1061" w:name="Tc_hMhJAyGrzU6tjYaL9iKsEQ_6_0"/>
      <w:bookmarkStart w:id="1062" w:name="Tc_DvvV1WDosUmnQvI2P6TE6Q_5_0"/>
      <w:bookmarkStart w:id="1063" w:name="Tc_wUKv3lONskiMiWCKwo1npQ_3_5"/>
      <w:bookmarkStart w:id="1064" w:name="Tc_UX8OLuT9Fk28wJk9vwe93g_3_2"/>
      <w:bookmarkStart w:id="1065" w:name="Tc_u14ItC1XF0S-zx5hK3Aa3Q_2_5"/>
      <w:bookmarkStart w:id="1066" w:name="Tc_1xM7oqDteEmglJeCW3VYIw_2_2"/>
      <w:bookmarkStart w:id="1067" w:name="Tc_s9hwlDJJVk6HBP22uvCEyQ_1_5"/>
      <w:bookmarkStart w:id="1068" w:name="Tc_7Y9pmF01KEuygBwWcRZTjw_1_2"/>
      <w:bookmarkStart w:id="1069" w:name="_a73237d2_b301_4067_8aeb_e7e31edb91b5"/>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p>
    <w:tbl>
      <w:tblPr>
        <w:tblW w:w="8613" w:type="dxa"/>
        <w:jc w:val="left"/>
        <w:tblInd w:w="0" w:type="dxa"/>
        <w:tblLayout w:type="fixed"/>
        <w:tblCellMar>
          <w:top w:w="0" w:type="dxa"/>
          <w:left w:w="0" w:type="dxa"/>
          <w:bottom w:w="0" w:type="dxa"/>
          <w:right w:w="0" w:type="dxa"/>
        </w:tblCellMar>
      </w:tblPr>
      <w:tblGrid>
        <w:gridCol w:w="4966"/>
        <w:gridCol w:w="346"/>
        <w:gridCol w:w="305"/>
        <w:gridCol w:w="1150"/>
        <w:gridCol w:w="346"/>
        <w:gridCol w:w="301"/>
        <w:gridCol w:w="1199"/>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153410" cy="175260"/>
                      <wp:effectExtent l="0" t="0" r="0" b="0"/>
                      <wp:wrapNone/>
                      <wp:docPr id="99" name="Frame99"/>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3675" cy="175260"/>
                      <wp:effectExtent l="0" t="0" r="0" b="0"/>
                      <wp:wrapNone/>
                      <wp:docPr id="101" name="Frame10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30250" cy="175260"/>
                      <wp:effectExtent l="0" t="0" r="0" b="0"/>
                      <wp:wrapNone/>
                      <wp:docPr id="102" name="Frame102"/>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1135" cy="175260"/>
                      <wp:effectExtent l="0" t="0" r="0" b="0"/>
                      <wp:wrapNone/>
                      <wp:docPr id="104" name="Frame10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61365" cy="175260"/>
                      <wp:effectExtent l="0" t="0" r="0" b="0"/>
                      <wp:wrapNone/>
                      <wp:docPr id="105" name="Frame105"/>
                      <a:graphic xmlns:a="http://schemas.openxmlformats.org/drawingml/2006/main">
                        <a:graphicData uri="http://schemas.microsoft.com/office/word/2010/wordprocessingShape">
                          <wps:wsp>
                            <wps:cNvSpPr txBox="1"/>
                            <wps:spPr>
                              <a:xfrm>
                                <a:off x="0" y="0"/>
                                <a:ext cx="761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(11,855)</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(33,852)</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Adjustments to reconcile net loss to net cash </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8,648</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10,290</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fees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impairment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(10,421)</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2,344</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11,363</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(5,434)</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(15,665)</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36,226</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(27,520)</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(16,342)</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(16,342)</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acquired in connection with reverse recapitalization</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40,855</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short-term debt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(11,547)</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42,997</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16,833</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9,217</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7,911</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8,912</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less capitalized interest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w:t>
            </w:r>
          </w:p>
        </w:tc>
      </w:tr>
      <w:tr>
        <w:trPr/>
        <w:tc>
          <w:tcPr>
            <w:tcW w:w="4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paid </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 in Accounts Payable</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70" w:name="_cf6ce8e8_1db1_4a20_8a32_d136311aa16d"/>
      <w:bookmarkEnd w:id="1070"/>
      <w:r>
        <w:rPr>
          <w:rFonts w:ascii="Times New Roman;Times;serif" w:hAnsi="Times New Roman;Times;serif"/>
          <w:b/>
          <w:sz w:val="20"/>
        </w:rPr>
        <w:t>VISKASE HOLDINGS,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071" w:name="a1DescriptionofBusiness_350455"/>
      <w:bookmarkEnd w:id="1071"/>
      <w:r>
        <w:rPr>
          <w:rFonts w:ascii="Times New Roman;Times;serif" w:hAnsi="Times New Roman;Times;serif"/>
          <w:b/>
          <w:sz w:val="20"/>
        </w:rPr>
        <w:t>Note 1 - Summary of Significant Accounting Policies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2026, (the “Closing Date”) Viskase Holdings, Inc. (formerly known as Enzon Pharmaceuticals, Inc.) consummated the previously announced transactions pursuant to the Agreement and Plan of Merger, dated as of June 20, 2025, by and among Viskase Companies, Inc., EPSC Acquisition Corp., a wholly owned subsidiary of Enzon Pharmaceuticals, Inc. (“Merger Sub”), and Enzon Pharmaceuticals, Inc. (“Enzon”), as amended by the First Amendment to the Agreement and Plan of Merger, dated as of October 24, 2025 (as amended, the “Merger Agreement”). Pursuant to the terms of the Merger Agreement, on the Closing Date, Merger Sub merged with and into Viskase Companies, Inc., with Viskase Companies, Inc. continuing as the surviving entity following the Merger and as a wholly owned subsidiary of Viskase Holdings, Inc. Promptly following the Merger, Viskase Companies, Inc. converted into a limited liability company under Delaware law and changed its name to “Viskase Companies, LLC”, which we refer to as “Viskase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Promptly following the Merger, Enzon filed a Certificate of Amendment to its Amended and Restated Certificate of Incorporation with the Secretary of State of Delaware to change its name to “Viskase Holdings, Inc.”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transactions contemplated by the Merger Agreement are hereinafter referred to as the “Merger.” Unless otherwise indicated or the context otherwise requires, references in these notes to condensed consolidated financial statements to “Viskase” and “the Company” refer to the business and operations of Viskase Companies prior to the Merger and to Viskase Holdings, Inc. and its consolidated subsidiaries following the Merger. See Note 2, </w:t>
      </w:r>
      <w:r>
        <w:rPr>
          <w:rFonts w:ascii="Times New Roman;Times;serif" w:hAnsi="Times New Roman;Times;serif"/>
          <w:i/>
          <w:sz w:val="20"/>
        </w:rPr>
        <w:t>Merger</w:t>
      </w:r>
      <w:r>
        <w:rPr>
          <w:rFonts w:ascii="Times New Roman;Times;serif" w:hAnsi="Times New Roman;Times;serif"/>
          <w:sz w:val="20"/>
        </w:rPr>
        <w:t>, for additional information on the Merger.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Viskase Holdings, Inc. together with its subsidiaries (“we” or the “Company”) is a producer of non-edible cellulosic, fibrous and plastic casings used to prepare and package processed meat products, and provides value-added support services relating to these products, for some of the largest global consumer products companies. We were incorporated in Delaware in 1970. The Company operates eight manufacturing facilities in North America, Europe, South America, and Asia and, as a result, is able to sell its products in nearly one hundred countries throughout the world.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Going Concern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statements are prepared using accounting principles generally accepted in the United States of America applicable to a going concern which contemplates the realization of assets and liquidation of liabilities in the normal course of business. The ability of the Company to continue as a going concern is dependent on the Company obtaining adequate refinancing of its Senior Credit Facility before its maturity in August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fully expect the refinancing will be completed before the maturity of its Senior Credit Facility. However, there is no assurance that the Company will be able to obtain sufficient additional funds to refinance these maturities or that such funds, if available, will be obtainable on terms satisfactory to the Company, and therefore substantial doubt exists about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do not include any adjustments that might result from the Company being unable to continue as a going concern.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our domestic sales and profits have been seasonal in nature, increasing in the spring and summer months. Sales outside of the United States follow a relatively stable pattern throughout the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have been prepared in accordance with accounting principles generally accepted in the United States (“U.S. GAAP”). The consolidated financial statements include the accounts of the Company, its subsidiaries and variable interest entity (“VIE”) for which the Company is the primary beneficiary. All inter-company accounts and transactions have been eliminated in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details and footnotes required under U.S. GAAP have been reduced or omitted to meet regulatory guidelines in the interim financial statements, but the Company believes the information remains clear and accurate. For a more complete understanding, these interim financial statements should be considered alongside the consolidated financial statements and notes included in the Company’s annual report for the year ending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the accompanying unaudited condensed consolidated financial statements include all necessary adjustments, comprising routine recurring accruals, to accurately reflect the financial position as of June 30, 2026, as well as the operating results and cash flows for the periods presented. However, the operating results for the period ended June 30, 2026 may not be representative of the results expected for the full year ending December 31,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Noncontrolling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consolidated its variable interest in a joint venture, VE Netting, LLC, as the Company is identified as the primary beneficiary. Noncontrolling interests reflect the equity ownership held by third parties. These noncontrolling interests are presented as a separate component of equity within the consolidated financial statements, distinct from the Company’s stockholders’ equity. The portion of net (loss) income attributable to noncontrolling interests is reported in the condensed consolidated statements of operations.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 in the Preparation of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are prepared in accordance with generally accepted accounting principles (“GAAP”) in the United States of America and include the use of estimates and assumptions that affect a number of amounts included in the Company’s financial statements, including, among other things, pensions and other postretirement benefits and related disclosures, reserves for excess and obsolete inventory, allowance for credit losses, and income taxes. Management bases its estimates on historical experience and other assumptions that we believe are reasonable. If actual amounts are ultimately different from previous estimates, the revisions are included in the Company’s results for the period in which the actual amounts become known. Historically, the aggregate differences, if any, between the Company’s estimates and actual amounts in any year have not had a significant effect on the Company’s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instruments include cash and cash equivalents, accounts receivable and accounts payable. The carrying amounts of these financial assets and liabilities approximate fair value due to the short maturities of these instruments. Management believes the fair value of the Company’s revolving loans approximate the carrying value due to credit risk or current market rates, which approximate the effective interest rates on those instruments. The fair value of the Company’s term loans is estimated by discounting the future cash flow using the Company’s current borrowing rates for similar types and maturities of debt.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Impairment of Long-Lived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long-lived assets including property, plant and equipment and intangible assets. Long-lived assets to be held and used are tested for recoverability whenever events or changes in circumstances indicate that its carrying amount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Impairments are recognized when the expected undiscounted future operating cash flows derived from long-lived assets are less than their carrying value. If impairment is identified, the loss is based on the excess of the carrying value of the impaired asset group over its fair value, determined based on discounted cash flows. During the six months ended June 30, 2026, the Company recognized an impairment of $226 in the North America asset group. During the six months ended June 30, 2025, the Company implemented restructuring plans (see Note 16 – Restructuring) which resulted in asset write-offs of $9,600 in the North America asset group.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in accordance with ASC 740, </w:t>
      </w:r>
      <w:r>
        <w:rPr>
          <w:rFonts w:ascii="Times New Roman;Times;serif" w:hAnsi="Times New Roman;Times;serif"/>
          <w:i/>
          <w:sz w:val="20"/>
        </w:rPr>
        <w:t>Income Taxes</w:t>
      </w:r>
      <w:r>
        <w:rPr>
          <w:rFonts w:ascii="Times New Roman;Times;serif" w:hAnsi="Times New Roman;Times;serif"/>
          <w:sz w:val="20"/>
        </w:rPr>
        <w:t xml:space="preserve"> (ASC 740). Deferred tax assets and liabilities are measured using enacted tax laws and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In addition, the amounts of any future tax benefits are reduced by a valuation allowance to the extent such benefits are not expected to be realized on a more likely than not basis.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We recognize interest and penalties related to uncertain tax positions in our provision for income taxes line of our consolidated statements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Restructuring charges are incurred for programs in which the Company changes its operations, the scope of a business undertaken by its business units, or the manner in which that business is conducted. Such charges may include employee severance, retention bonuses, facility closure or consolidation costs, lease or contract termination costs, accelerated depreciation and amortization, and other related expenses. The restructuring programs may be implemented due to the sale or discontinuation of a product line, reorganization or management structure changes, headcount rationalization, realignment of operations or products, and/or company-wide cost saving initiatives. The amount and/or frequency of these restructuring charges are not part of the Company’s underlying business. Employee severance costs are generally recognized when payments are probable and amounts are reasonably estimable. Costs related to contracts without future benefit or contract termination are recognized at fair value at the earlier of the contract termination or the cease-use dates. Other exit-related costs are expensed as incurred. Refer to Note 16 – </w:t>
      </w:r>
      <w:r>
        <w:rPr>
          <w:rFonts w:ascii="Times New Roman;Times;serif" w:hAnsi="Times New Roman;Times;serif"/>
          <w:i/>
          <w:sz w:val="20"/>
        </w:rPr>
        <w:t>Restructuring</w:t>
      </w:r>
      <w:r>
        <w:rPr>
          <w:rFonts w:ascii="Times New Roman;Times;serif" w:hAnsi="Times New Roman;Times;serif"/>
          <w:sz w:val="20"/>
        </w:rPr>
        <w:t xml:space="preserve"> for additional details.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Variable Interest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holds a variable interest in VE Netting, LLC. The joint venture is a manufacturing, marketing and selling company of high-quality netting solutions for the meat and poultry industry. VE Netting, LLC is a Delaware limited liability company with its principal place of business in Lombard, IL. The netting product is manufactured under agreement by Viskase’s affiliate located in Monterrey, Mexico. VE Netting, LLC was determined to be a variable interest entity (VIE) in accordance with ASC Topic 810, </w:t>
      </w:r>
      <w:r>
        <w:rPr>
          <w:rFonts w:ascii="Times New Roman;Times;serif" w:hAnsi="Times New Roman;Times;serif"/>
          <w:i/>
          <w:sz w:val="20"/>
        </w:rPr>
        <w:t>Consolidations</w:t>
      </w:r>
      <w:r>
        <w:rPr>
          <w:rFonts w:ascii="Times New Roman;Times;serif" w:hAnsi="Times New Roman;Times;serif"/>
          <w:sz w:val="20"/>
        </w:rPr>
        <w:t>, for which the Company is the primary beneficiary, as the Company has the power to direct activities that most significantly impact the economic performance and has the right to receive benefits and losses that may potentially be significant. As the primary beneficiary of the VIE, the VIE’s assets, liabilities, and results of operations are included in the Company’s condensed consolidated financial statements as of June 30, 2026 and December 31, 2025 and for the six months ended June 30, 2026 and June 30, 2025. The other equity holders’ interests are reflected in “Net (loss) income attributable to noncontrolling interests” in the Consolidated Statements of Operations and “Noncontrolling interests” in the Condensed Consolidated Balance Sheets. See Note 14 -</w:t>
      </w:r>
      <w:r>
        <w:rPr>
          <w:rFonts w:ascii="Times New Roman;Times;serif" w:hAnsi="Times New Roman;Times;serif"/>
          <w:i/>
          <w:sz w:val="20"/>
        </w:rPr>
        <w:t>Variable Interest Entity</w:t>
      </w:r>
      <w:r>
        <w:rPr>
          <w:rFonts w:ascii="Times New Roman;Times;serif" w:hAnsi="Times New Roman;Times;serif"/>
          <w:sz w:val="20"/>
        </w:rPr>
        <w:t xml:space="preserve"> for standalone financial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Comprehensive (Loss)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comprehensive (loss) income includes all other non-stockholder changes in equity. Changes in other comprehensive income (loss) for three and six months ended June 30, 2026 and the year ended December 31, 2025 resulted from changes in foreign currency translation and pension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Accumulated other comprehensive (loss) income consists of cumulative changes in foreign currency translation and pension liability. The Company uses the portfolio approach for releasing income tax effects from accumulated other comprehensive (loss) income.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revenues are comprised of product sales to customers, including distributors and end users. The Company’s performance obligation is defined as the promise to deliver the specified products in a purchase order. Revenue is recognized at the point in time in which the customer obtains control of the product, which is generally when product title passes to the customer according to the shipping terms dictated in the contract. In most contracts, title transfers upon shipment of the product; however, in some cases, title does not transfer until the customer has received the products at their specified location.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 is recorded at the transaction price, which is the amount of consideration the Company expects to receive in exchange for providing its products to customers.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transaction price may be adjusted for estimates of known or expected variable consideration, including consumer incentives, trade promotions, and rebate programs. The Company estimates the amount of variable consideration that will be realized and records the estimate as a reduction to the transaction price. These estimates are based on historical experience, anticipated performance and the Company’s best judgment at the time. In determining whether an estimate of variable consideration is constrained, we consider the likelihood and magnitude of a potential revenue reversal. The Company’s provision for variable consideration is recorded at contract inception and reviewed and updated regularly as new information arises throughout the contract term. Any adjustments due to resolved uncertainties or new information are recognized in the period in which the adjustment is identified.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Sales, value add, and other taxes collected from customers and remitted to governmental authorities are excluded from the transaction price, while shipping and handling fees reimbursed by the customer are included in the transaction price and recorded on a gross basis on the income statement. The Company generally does not offer warranties or a right to return on the products it sells except in the instance of a product defect or mis-ship.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 terms vary by customer; however, the time between invoicing and payment is not significant. None of the Company’s customer contracts as of June 30, 2026 and December 31, 2025 contain a significant financing component.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makes such decisions and assesses performance at the geographic region level, including North America, South America, EMEA, and Asia which are the Company’s four reportable segments under ASC 280. See Note 12, </w:t>
      </w:r>
      <w:r>
        <w:rPr>
          <w:rFonts w:ascii="Times New Roman;Times;serif" w:hAnsi="Times New Roman;Times;serif"/>
          <w:i/>
          <w:sz w:val="20"/>
        </w:rPr>
        <w:t xml:space="preserve">Business Segment Information and Geographic Area Information </w:t>
      </w:r>
      <w:r>
        <w:rPr>
          <w:rFonts w:ascii="Times New Roman;Times;serif" w:hAnsi="Times New Roman;Times;serif"/>
          <w:sz w:val="20"/>
        </w:rPr>
        <w:t>for further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debt in accordance with ASC 470, Debt (ASC 470). Issuance costs for term debt are presented on the balance sheet as a direct deduction from the carrying amount of the related debt liability. These costs are amortized over the term of the related debt using the interest method under ASC 835-30. The effective interest rate for variable rate debt is determined in accordance with ASC 310-20-35, in which the Company’s policy is to use the variable rate at inception of the debt in the determination of the constant effective yield.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2025, the FASB issued ASU 2025-03, Business Combinations (Topic 805) and Consolidation (Topic 810): Determining the Accounting Acquirer in the Acquisition of a Variable Interest Entity (“VIE”). This standard clarifies the guidance in determining the accounting acquirer in certain transactions involving VIEs. The update aims to improve consistency and comparability in financial reporting for acquisition transactions effected primarily by exchanging equity interests. ASU 2025-03 requires entities to apply the same factors used for determining the accounting acquirer in other acquisition transactions. The ASU is applied prospectively to all business combinations with acquisition dates occurring on or after the date of initial application. The ASU is effective for all annual reporting periods (and interim periods in annual reporting periods) beginning after December 15, 2026. Early adoption is permitted in interim or annual reporting periods in which financial statements have not yet been issued (or made available for issuance). Management has elected to early adopt ASU 2025-03 in 2025 and did not result in a material impact to our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 Improvements to Income Tax Disclosures, which required enhanced income tax disclosures that reflect how operations and related tax risks, as well as how tax planning and operational opportunities, affect the tax rate and prospects for future cash flows. This standard was effective for the Company beginning January 1, 2025 with early adoption permitted. The ASU can be applied on a prospective basis but retrospective application was permitted. The adoption of this guidance modified disclosures in the Company’s consolidated financial statements. Our adoption on prospective basis in 2025 did not result in a material impact on our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2025, the Financial Accounting Standards Board (“FASB”) issued Accounting Standards Update (“ASU”) 2025-05, Measurement of Credit Losses for Accounts Receivable and Contract Assets. The update introduces a practical expedient that permits an entity to assume that conditions as of the balance sheet date remain unchanged over the life of current accounts receivable and current contract assets when estimating expected credit losses. The amendments are intended to simplify the application of the current expected credit loss (“CECL”) model to short-term receivables and contract assets arising from transactions accounted for under Topic 606. The standard is effective for fiscal years beginning after December 15, 2025, including interim periods within those fiscal years, with early adoption permitted. The Company is currently evaluating the impact of adopting ASU 2025-05 on its condensed consolidated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1, Summary of Significant Accounting Policies, on March 26, 2026, the previously announced Merger between Viskase Companies, Merger Sub, and Enzon, was completed pursuant to the terms of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Closing Date of the Merger, the following occurred: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Enzon commenced an offer to each holder of Series C Preferred Stock of Enzon, other than the IEH Parties, to exchange each share of Series C Preferred Stock beneficially owned by such non-IEH party for a number of shares of Enzon Common Stock equal to (i) the aggregate liquidation value of the share divided by (ii) $7.83, which reflected the Enzon 20-Day volume weighted average price calculated in accordance with the Merger Agreement (the “Series C Exchange Offer”).</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Of the 723 shares of Series C Preferred Stock held by non-IEH Parties, holders of 339 shares elected to participate in the Series C Exchange Offer and exchanged such shares for shares of Enzon Common Stock prior to the Closing Date. The holders of the remaining 384 shares of Series C Preferred Stock did not elect to exchange their shares, and those shares remained outstanding as of the Closing Date.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a majority of the holders of Enzon Common Stock approved the 1-for-100 reverse stock split (the “Reverse Stock Split”). On March 24, 2026, Enzon effectuated the Reverse Stock Split pursuant to which every one hundred (100) shares of Enzon’s issued and outstanding common stock were combined into one (1) share of Enzon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March 25, 2026, each share of Enzon’s Series C Non-Convertible Redeemable Preferred Stock, par value $0.01</w:t>
            </w:r>
            <w:r>
              <w:rPr>
                <w:caps w:val="false"/>
                <w:smallCaps w:val="false"/>
              </w:rPr>
              <w:t xml:space="preserve"> </w:t>
            </w:r>
            <w:r>
              <w:rPr>
                <w:rFonts w:ascii="Times New Roman;Times;serif" w:hAnsi="Times New Roman;Times;serif"/>
                <w:b w:val="false"/>
                <w:i w:val="false"/>
                <w:caps w:val="false"/>
                <w:smallCaps w:val="false"/>
                <w:sz w:val="20"/>
              </w:rPr>
              <w:t>per share (the “Series C Preferred Stock”) beneficially owned by Icahn Enterprises Holdings L.P. and certain of its affiliates (together, the “IEH Parties”) was exchanged for a number of shares of Enzon Common Stock equal to (i) the aggregate liquidation value of such shares of Series C Preferred Stock divided by (ii) the Enzon 20-day volume weighted average price of the Enzon Common Stock (the “IEH Share Exchange”). Accordingly, as of March 25, 2026, 5,658,396</w:t>
            </w:r>
            <w:r>
              <w:rPr>
                <w:caps w:val="false"/>
                <w:smallCaps w:val="false"/>
              </w:rPr>
              <w:t xml:space="preserve"> </w:t>
            </w:r>
            <w:r>
              <w:rPr>
                <w:rFonts w:ascii="Times New Roman;Times;serif" w:hAnsi="Times New Roman;Times;serif"/>
                <w:b w:val="false"/>
                <w:i w:val="false"/>
                <w:caps w:val="false"/>
                <w:smallCaps w:val="false"/>
                <w:sz w:val="20"/>
              </w:rPr>
              <w:t>shares of Enzon Common Stock were issued to the IEH Parties in respect of the 39,277</w:t>
            </w:r>
            <w:r>
              <w:rPr>
                <w:caps w:val="false"/>
                <w:smallCaps w:val="false"/>
              </w:rPr>
              <w:t xml:space="preserve"> </w:t>
            </w:r>
            <w:r>
              <w:rPr>
                <w:rFonts w:ascii="Times New Roman;Times;serif" w:hAnsi="Times New Roman;Times;serif"/>
                <w:b w:val="false"/>
                <w:i w:val="false"/>
                <w:caps w:val="false"/>
                <w:smallCaps w:val="false"/>
                <w:sz w:val="20"/>
              </w:rPr>
              <w:t>shares of Series C Preferred Stock previously held by the IEH Parties.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the Closing Date of the Merger, the following occurred: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share of Viskase Companies common stock issued and outstanding immediately prior to the Merger (other than shares held by Viskase Companies as treasury shares), which totaled 160,479,226</w:t>
            </w:r>
            <w:r>
              <w:rPr>
                <w:caps w:val="false"/>
                <w:smallCaps w:val="false"/>
              </w:rPr>
              <w:t xml:space="preserve"> </w:t>
            </w:r>
            <w:r>
              <w:rPr>
                <w:rFonts w:ascii="Times New Roman;Times;serif" w:hAnsi="Times New Roman;Times;serif"/>
                <w:b w:val="false"/>
                <w:i w:val="false"/>
                <w:caps w:val="false"/>
                <w:smallCaps w:val="false"/>
                <w:sz w:val="20"/>
              </w:rPr>
              <w:t>shares, was exchanged into the right to receive 0.049118</w:t>
            </w:r>
            <w:r>
              <w:rPr>
                <w:caps w:val="false"/>
                <w:smallCaps w:val="false"/>
              </w:rPr>
              <w:t xml:space="preserve"> </w:t>
            </w:r>
            <w:r>
              <w:rPr>
                <w:rFonts w:ascii="Times New Roman;Times;serif" w:hAnsi="Times New Roman;Times;serif"/>
                <w:b w:val="false"/>
                <w:i w:val="false"/>
                <w:caps w:val="false"/>
                <w:smallCaps w:val="false"/>
                <w:sz w:val="20"/>
              </w:rPr>
              <w:t>shares (the “Exchange Ratio”) of Viskase Holdings, Inc. common stock for a total of 7,882,387</w:t>
            </w:r>
            <w:r>
              <w:rPr>
                <w:caps w:val="false"/>
                <w:smallCaps w:val="false"/>
              </w:rPr>
              <w:t xml:space="preserve"> </w:t>
            </w:r>
            <w:r>
              <w:rPr>
                <w:rFonts w:ascii="Times New Roman;Times;serif" w:hAnsi="Times New Roman;Times;serif"/>
                <w:b w:val="false"/>
                <w:i w:val="false"/>
                <w:caps w:val="false"/>
                <w:smallCaps w:val="false"/>
                <w:sz w:val="20"/>
              </w:rPr>
              <w:t>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share of Viskase Companies common stock issued and outstanding and held by Viskase Companies as treasury shares, which totaled 805,270</w:t>
            </w:r>
            <w:r>
              <w:rPr>
                <w:caps w:val="false"/>
                <w:smallCaps w:val="false"/>
              </w:rPr>
              <w:t xml:space="preserve"> </w:t>
            </w:r>
            <w:r>
              <w:rPr>
                <w:rFonts w:ascii="Times New Roman;Times;serif" w:hAnsi="Times New Roman;Times;serif"/>
                <w:b w:val="false"/>
                <w:i w:val="false"/>
                <w:caps w:val="false"/>
                <w:smallCaps w:val="false"/>
                <w:sz w:val="20"/>
              </w:rPr>
              <w:t>shares, was automatically cancelled and ceased to exist.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72" w:name="Tc_-odPxS0xg0ikcv1DFzvy9Q_6_2"/>
      <w:bookmarkStart w:id="1073" w:name="Tc_998KyG4R10OxdO5-r4A_BQ_6_0"/>
      <w:bookmarkStart w:id="1074" w:name="Tc_ZQv8_s_R0U2mVV2cqt7y3A_5_2"/>
      <w:bookmarkStart w:id="1075" w:name="Tc_kIM615VkbkmsZg0kIhC0UQ_5_0"/>
      <w:bookmarkStart w:id="1076" w:name="Tc_0ysg9zjLL02oEfxWjxwBOg_4_2"/>
      <w:bookmarkStart w:id="1077" w:name="Tc_ohv11jRREU2udMJq8f2fMQ_4_0"/>
      <w:bookmarkStart w:id="1078" w:name="Tc_BJE1jRe7ykmeev_jksHFDw_3_2"/>
      <w:bookmarkStart w:id="1079" w:name="Tc_xz5NGgBtsEW3kezkRKphWg_2_2"/>
      <w:bookmarkStart w:id="1080" w:name="Tc_x-bZHntx90uB3EESAKSQVw_1_2"/>
      <w:bookmarkStart w:id="1081" w:name="Tc_yoSlCq2Rhky2GpH5dboCDw_4_2"/>
      <w:bookmarkStart w:id="1082" w:name="Tc_ltgZNCjJ_0WKAPuLeEF6GQ_4_0"/>
      <w:bookmarkStart w:id="1083" w:name="Tc_YL21Jisbc0m3eFXklQ_1NA_3_0"/>
      <w:bookmarkStart w:id="1084" w:name="Tc_M1oGJHmWUESKzVpVJv_Ccg_2_0"/>
      <w:bookmarkStart w:id="1085" w:name="Tc_8NFG19m3IEudt6WEhEmm_w_1_2"/>
      <w:bookmarkStart w:id="1086" w:name="Tc__GeQZXtPs06aUqQ5eU0chg_1_0"/>
      <w:bookmarkStart w:id="1087" w:name="_3df2bf46_3bb9_4760_8de3_b9d5a54d9888"/>
      <w:bookmarkStart w:id="1088" w:name="Tc_1-JuhIE_oEuWQG0K5eDSXQ_6_0"/>
      <w:bookmarkStart w:id="1089" w:name="Tc_F8iIjTo_tkKpkG6vxrbizA_5_0"/>
      <w:bookmarkStart w:id="1090" w:name="Tc_v_SL1NsK90SJNduxlYR_og_4_0"/>
      <w:bookmarkStart w:id="1091" w:name="Tc_HPV1Xd_qhEapbi7JG1vJgQ_3_0"/>
      <w:bookmarkStart w:id="1092" w:name="Tc__AIqIDqUj0uxA6FGFLiuxA_2_0"/>
      <w:bookmarkStart w:id="1093" w:name="Tc_dtn0ifO1sECA-pyMx3MOMw_1_0"/>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r>
        <w:rPr>
          <w:rFonts w:ascii="Times New Roman;Times;serif" w:hAnsi="Times New Roman;Times;serif"/>
          <w:sz w:val="20"/>
        </w:rPr>
        <w:t xml:space="preserve">On the Closing Date, following the IEH Share Exchange, Series C Exchange Offer, and Reverse Stock Split, Enzon had 6,449,233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of common stock and 384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of Series C Preferred stock issued and outstanding. Upon the Closing, these securities continue to reflect 6,449,233 shares of Viskase Holdings, Inc. common stock and 384 shares of Viskase Holdings, Inc. Series C Preferred Stock,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Closing Date, legacy Viskase Companies shareholders and legacy Enzon shareholders held 55.0% and 45.0% of the voting rights of the Viskase Holdings, Inc. common stock,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total shares of Viskase Holdings, Inc. common stock outstanding immediately after the closing of the Merger:</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706"/>
        <w:gridCol w:w="346"/>
        <w:gridCol w:w="1153"/>
      </w:tblGrid>
      <w:tr>
        <w:trPr/>
        <w:tc>
          <w:tcPr>
            <w:tcW w:w="8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528310" cy="175260"/>
                      <wp:effectExtent l="0" t="0" r="0" b="0"/>
                      <wp:wrapNone/>
                      <wp:docPr id="106" name="Frame106"/>
                      <a:graphic xmlns:a="http://schemas.openxmlformats.org/drawingml/2006/main">
                        <a:graphicData uri="http://schemas.microsoft.com/office/word/2010/wordprocessingShape">
                          <wps:wsp>
                            <wps:cNvSpPr txBox="1"/>
                            <wps:spPr>
                              <a:xfrm>
                                <a:off x="0" y="0"/>
                                <a:ext cx="552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32155" cy="175260"/>
                      <wp:effectExtent l="0" t="0" r="0" b="0"/>
                      <wp:wrapNone/>
                      <wp:docPr id="108" name="Frame108"/>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held by legacy Enzon common stockholders following Reverse Stock Split (prior to IEH Share Exchange and Series C Exchange Offer)</w:t>
            </w:r>
          </w:p>
        </w:tc>
        <w:tc>
          <w:tcPr>
            <w:tcW w:w="346" w:type="dxa"/>
            <w:tcBorders/>
            <w:shd w:fill="CCEEFF" w:val="clear"/>
            <w:vAlign w:val="center"/>
          </w:tcPr>
          <w:p>
            <w:pPr>
              <w:pStyle w:val="TableContents"/>
              <w:bidi w:val="0"/>
              <w:spacing w:before="0" w:after="1"/>
              <w:ind w:left="0" w:right="0" w:hanging="0"/>
              <w:jc w:val="left"/>
              <w:rPr/>
            </w:pPr>
            <w:r>
              <w:rPr/>
              <w:t>  ​ ​ ​</w:t>
            </w:r>
          </w:p>
        </w:tc>
        <w:tc>
          <w:tcPr>
            <w:tcW w:w="11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742,005</w:t>
            </w:r>
          </w:p>
        </w:tc>
      </w:tr>
      <w:tr>
        <w:trPr/>
        <w:tc>
          <w:tcPr>
            <w:tcW w:w="87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held by IEH Parties subsequent to IEH Share Exchange</w:t>
            </w:r>
          </w:p>
        </w:tc>
        <w:tc>
          <w:tcPr>
            <w:tcW w:w="346" w:type="dxa"/>
            <w:tcBorders/>
            <w:vAlign w:val="center"/>
          </w:tcPr>
          <w:p>
            <w:pPr>
              <w:pStyle w:val="TableContents"/>
              <w:bidi w:val="0"/>
              <w:spacing w:before="0" w:after="1"/>
              <w:ind w:left="0" w:right="0" w:hanging="0"/>
              <w:jc w:val="left"/>
              <w:rPr/>
            </w:pPr>
            <w:r>
              <w:rPr/>
              <w:t> </w:t>
            </w:r>
          </w:p>
        </w:tc>
        <w:tc>
          <w:tcPr>
            <w:tcW w:w="11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5,658,396</w:t>
            </w:r>
          </w:p>
        </w:tc>
      </w:tr>
      <w:tr>
        <w:trPr/>
        <w:tc>
          <w:tcPr>
            <w:tcW w:w="8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held by non-IEH Parties subsequent to Series C Exchange Offer</w:t>
            </w:r>
          </w:p>
        </w:tc>
        <w:tc>
          <w:tcPr>
            <w:tcW w:w="346" w:type="dxa"/>
            <w:tcBorders/>
            <w:shd w:fill="CCEEFF" w:val="clear"/>
            <w:vAlign w:val="center"/>
          </w:tcPr>
          <w:p>
            <w:pPr>
              <w:pStyle w:val="TableContents"/>
              <w:bidi w:val="0"/>
              <w:spacing w:before="0" w:after="1"/>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48,832</w:t>
            </w:r>
          </w:p>
        </w:tc>
      </w:tr>
      <w:tr>
        <w:trPr/>
        <w:tc>
          <w:tcPr>
            <w:tcW w:w="87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Subtotal - Equity consideration issued for acquisition </w:t>
            </w:r>
          </w:p>
        </w:tc>
        <w:tc>
          <w:tcPr>
            <w:tcW w:w="346" w:type="dxa"/>
            <w:tcBorders/>
            <w:vAlign w:val="center"/>
          </w:tcPr>
          <w:p>
            <w:pPr>
              <w:pStyle w:val="TableContents"/>
              <w:bidi w:val="0"/>
              <w:spacing w:before="0" w:after="1"/>
              <w:ind w:left="0" w:right="0" w:hanging="0"/>
              <w:jc w:val="left"/>
              <w:rPr/>
            </w:pPr>
            <w:r>
              <w:rPr/>
              <w:t> </w:t>
            </w:r>
          </w:p>
        </w:tc>
        <w:tc>
          <w:tcPr>
            <w:tcW w:w="11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6,449,233</w:t>
            </w:r>
          </w:p>
        </w:tc>
      </w:tr>
      <w:tr>
        <w:trPr/>
        <w:tc>
          <w:tcPr>
            <w:tcW w:w="8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of shares of Viskase Companies, Inc. common stock for shares of Viskase Holdings, Inc.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7,882,387</w:t>
            </w:r>
          </w:p>
        </w:tc>
      </w:tr>
      <w:tr>
        <w:trPr/>
        <w:tc>
          <w:tcPr>
            <w:tcW w:w="87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of Viskase Holdings, Inc. common stock</w:t>
            </w:r>
          </w:p>
        </w:tc>
        <w:tc>
          <w:tcPr>
            <w:tcW w:w="346" w:type="dxa"/>
            <w:tcBorders/>
            <w:vAlign w:val="center"/>
          </w:tcPr>
          <w:p>
            <w:pPr>
              <w:pStyle w:val="TableContents"/>
              <w:bidi w:val="0"/>
              <w:spacing w:before="0" w:after="1"/>
              <w:ind w:left="0" w:right="0" w:hanging="0"/>
              <w:jc w:val="left"/>
              <w:rPr/>
            </w:pPr>
            <w:r>
              <w:rPr/>
              <w:t> </w:t>
            </w:r>
          </w:p>
        </w:tc>
        <w:tc>
          <w:tcPr>
            <w:tcW w:w="115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14,331,620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was accounted for as a reverse recapitalization and not a business combination under ASC 805. Under this method of accounting, Enzon was treated as the acquired company for accounting purposes, whereas Viskase was treated as the accounting acquirer. This determination was primarily based on the fact that subsequent to the Merger, legacy Viskase shareholders have a majority of the voting power of the combined company, legacy Viskase comprises all of the ongoing operations of the combined entity, legacy Viskase comprises a majority of the governing body of the combined company, and legacy Viskase senior management comprises all of the senior management of the combined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this method of accounting, the Merger was treated as the equivalent of Viskase issuing shares for the net assets of Enzon, accompanied by a recapitalization. The net assets of Enzon were stated at historical cost, with no goodwill or other intangible assets recorded, and the operations prior to the Merger are those of Viskase. The shares and net loss per share of common stock of legacy Viskase Companies, prior to the Merger, have been retroactively restated as shares reflecting the Exchange Ratio established in 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recapitalization, the Company obtained the assets and liabilities listed below (in thousands):</w:t>
      </w:r>
    </w:p>
    <w:tbl>
      <w:tblPr>
        <w:tblW w:w="5176" w:type="dxa"/>
        <w:jc w:val="left"/>
        <w:tblInd w:w="0" w:type="dxa"/>
        <w:tblLayout w:type="fixed"/>
        <w:tblCellMar>
          <w:top w:w="0" w:type="dxa"/>
          <w:left w:w="0" w:type="dxa"/>
          <w:bottom w:w="0" w:type="dxa"/>
          <w:right w:w="0" w:type="dxa"/>
        </w:tblCellMar>
      </w:tblPr>
      <w:tblGrid>
        <w:gridCol w:w="3826"/>
        <w:gridCol w:w="346"/>
        <w:gridCol w:w="211"/>
        <w:gridCol w:w="793"/>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29510" cy="175260"/>
                      <wp:effectExtent l="0" t="0" r="0" b="0"/>
                      <wp:wrapNone/>
                      <wp:docPr id="109" name="Frame109"/>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03555" cy="175260"/>
                      <wp:effectExtent l="0" t="0" r="0" b="0"/>
                      <wp:wrapNone/>
                      <wp:docPr id="112" name="Frame11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40,854</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40,449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did not capitalize any transaction costs in connection with the Merger.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non-cash transactions associated with the Merger which were excluded from the condensed consolidated statements of cash flows: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691"/>
        <w:gridCol w:w="346"/>
        <w:gridCol w:w="333"/>
        <w:gridCol w:w="835"/>
      </w:tblGrid>
      <w:tr>
        <w:trPr/>
        <w:tc>
          <w:tcPr>
            <w:tcW w:w="8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518785" cy="175260"/>
                      <wp:effectExtent l="0" t="0" r="0" b="0"/>
                      <wp:wrapNone/>
                      <wp:docPr id="113" name="Frame113"/>
                      <a:graphic xmlns:a="http://schemas.openxmlformats.org/drawingml/2006/main">
                        <a:graphicData uri="http://schemas.microsoft.com/office/word/2010/wordprocessingShape">
                          <wps:wsp>
                            <wps:cNvSpPr txBox="1"/>
                            <wps:spPr>
                              <a:xfrm>
                                <a:off x="0" y="0"/>
                                <a:ext cx="551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1455" cy="175260"/>
                      <wp:effectExtent l="0" t="0" r="0" b="0"/>
                      <wp:wrapNone/>
                      <wp:docPr id="115" name="Frame11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30225" cy="175260"/>
                      <wp:effectExtent l="0" t="0" r="0" b="0"/>
                      <wp:wrapNone/>
                      <wp:docPr id="116" name="Frame11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8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8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86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current assets acquired in connection with the Merger</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86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 assumed in connection with the Merger</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86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C preferred stock historically outstanding at Enzon that remained outstanding following the Merger</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94" w:name="Tc_MZvojmeVe0W2Rro75I-KjQ_4_5"/>
      <w:bookmarkStart w:id="1095" w:name="Tc_vlSg1NXJoUGVf3n4_yI0iQ_4_2"/>
      <w:bookmarkStart w:id="1096" w:name="Tc_KCwAXCpzyUKkAN9hJXYukA_4_0"/>
      <w:bookmarkStart w:id="1097" w:name="Tc_Nn7qdupaIkCEGj1KpWfWUQ_3_0"/>
      <w:bookmarkStart w:id="1098" w:name="Tc_W4naaWUyuUCaPFsmFmCc2w_2_5"/>
      <w:bookmarkStart w:id="1099" w:name="Tc_OK32piX1xEaDj4wE6TIAaA_2_2"/>
      <w:bookmarkStart w:id="1100" w:name="Tc_-KVRhiyfy0SyonpZFwCabQ_2_0"/>
      <w:bookmarkStart w:id="1101" w:name="Tc_EStH4W0QKUWikymg6Sqsyw_1_5"/>
      <w:bookmarkStart w:id="1102" w:name="Tc_jG12ldDHmUKiFm-CWMUcjw_1_2"/>
      <w:bookmarkStart w:id="1103" w:name="Tc_XbgTm-kLQUy3VRSoulQ7jg_1_0"/>
      <w:bookmarkEnd w:id="1094"/>
      <w:bookmarkEnd w:id="1095"/>
      <w:bookmarkEnd w:id="1096"/>
      <w:bookmarkEnd w:id="1097"/>
      <w:bookmarkEnd w:id="1098"/>
      <w:bookmarkEnd w:id="1099"/>
      <w:bookmarkEnd w:id="1100"/>
      <w:bookmarkEnd w:id="1101"/>
      <w:bookmarkEnd w:id="1102"/>
      <w:bookmarkEnd w:id="1103"/>
      <w:r>
        <w:rPr>
          <w:rFonts w:ascii="Times New Roman;Times;serif" w:hAnsi="Times New Roman;Times;serif"/>
          <w:b/>
          <w:sz w:val="20"/>
        </w:rPr>
        <w:t>Note 3 – Receivables,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Receivables net, consist of the following:</w:t>
      </w:r>
    </w:p>
    <w:p>
      <w:pPr>
        <w:pStyle w:val="TextBody"/>
        <w:bidi w:val="0"/>
        <w:spacing w:before="0" w:after="240"/>
        <w:ind w:left="0" w:right="0" w:hanging="0"/>
        <w:jc w:val="both"/>
        <w:rPr/>
      </w:pPr>
      <w:r>
        <w:rPr/>
        <w:t>​</w:t>
      </w:r>
    </w:p>
    <w:tbl>
      <w:tblPr>
        <w:tblW w:w="6018" w:type="dxa"/>
        <w:jc w:val="left"/>
        <w:tblInd w:w="0" w:type="dxa"/>
        <w:tblLayout w:type="fixed"/>
        <w:tblCellMar>
          <w:top w:w="0" w:type="dxa"/>
          <w:left w:w="0" w:type="dxa"/>
          <w:bottom w:w="0" w:type="dxa"/>
          <w:right w:w="0" w:type="dxa"/>
        </w:tblCellMar>
      </w:tblPr>
      <w:tblGrid>
        <w:gridCol w:w="2656"/>
        <w:gridCol w:w="346"/>
        <w:gridCol w:w="263"/>
        <w:gridCol w:w="862"/>
        <w:gridCol w:w="346"/>
        <w:gridCol w:w="324"/>
        <w:gridCol w:w="122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86560" cy="175260"/>
                      <wp:effectExtent l="0" t="0" r="0" b="0"/>
                      <wp:wrapNone/>
                      <wp:docPr id="117" name="Frame11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7005" cy="175260"/>
                      <wp:effectExtent l="0" t="0" r="0" b="0"/>
                      <wp:wrapNone/>
                      <wp:docPr id="119" name="Frame11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47370" cy="175260"/>
                      <wp:effectExtent l="0" t="0" r="0" b="0"/>
                      <wp:wrapNone/>
                      <wp:docPr id="120" name="Frame12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5740" cy="175260"/>
                      <wp:effectExtent l="0" t="0" r="0" b="0"/>
                      <wp:wrapNone/>
                      <wp:docPr id="122" name="Frame12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75335" cy="175260"/>
                      <wp:effectExtent l="0" t="0" r="0" b="0"/>
                      <wp:wrapNone/>
                      <wp:docPr id="123" name="Frame123"/>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70,336</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63,123</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net</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67,385</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60,182</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04" w:name="Tc_Z1DYx03CSUuEfGgaAR8eYQ_5_5"/>
      <w:bookmarkStart w:id="1105" w:name="Tc_S_T1JccVRkKYhymeFxurOw_5_2"/>
      <w:bookmarkStart w:id="1106" w:name="Tc_o2X-ZLoFgEOvjBfYopGAmQ_5_0"/>
      <w:bookmarkStart w:id="1107" w:name="Tc_DxZwYTANc02sjXZNFz4lJQ_4_0"/>
      <w:bookmarkStart w:id="1108" w:name="Tc_sWMyDE69mkySW77zWK_nCQ_3_0"/>
      <w:bookmarkStart w:id="1109" w:name="Tc_j41_z3PKk0aZaOV5Ulj3Qg_2_5"/>
      <w:bookmarkStart w:id="1110" w:name="Tc_rfihb7MvD0uPm5fh-aYlcQ_2_2"/>
      <w:bookmarkStart w:id="1111" w:name="Tc_yCsTLkyeFUGI_bNQkfBjGw_2_0"/>
      <w:bookmarkStart w:id="1112" w:name="Tc_KGdhmwkFNEKAJCd7AZNZRg_1_5"/>
      <w:bookmarkStart w:id="1113" w:name="Tc_ue9mwe1nzEynYGcxe_dYPQ_1_2"/>
      <w:bookmarkStart w:id="1114" w:name="Tc_2sQI0Ws1FUCuHVTf6fZo_g_1_0"/>
      <w:bookmarkEnd w:id="1104"/>
      <w:bookmarkEnd w:id="1105"/>
      <w:bookmarkEnd w:id="1106"/>
      <w:bookmarkEnd w:id="1107"/>
      <w:bookmarkEnd w:id="1108"/>
      <w:bookmarkEnd w:id="1109"/>
      <w:bookmarkEnd w:id="1110"/>
      <w:bookmarkEnd w:id="1111"/>
      <w:bookmarkEnd w:id="1112"/>
      <w:bookmarkEnd w:id="1113"/>
      <w:bookmarkEnd w:id="1114"/>
      <w:r>
        <w:rPr>
          <w:rFonts w:ascii="Times New Roman;Times;serif" w:hAnsi="Times New Roman;Times;serif"/>
          <w:b/>
          <w:sz w:val="20"/>
        </w:rPr>
        <w:t>Note 4 – Inventories,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1861"/>
        <w:gridCol w:w="346"/>
        <w:gridCol w:w="239"/>
        <w:gridCol w:w="886"/>
        <w:gridCol w:w="346"/>
        <w:gridCol w:w="324"/>
        <w:gridCol w:w="122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81735" cy="175260"/>
                      <wp:effectExtent l="0" t="0" r="0" b="0"/>
                      <wp:wrapNone/>
                      <wp:docPr id="124" name="Frame12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1765" cy="175260"/>
                      <wp:effectExtent l="0" t="0" r="0" b="0"/>
                      <wp:wrapNone/>
                      <wp:docPr id="126" name="Frame12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2610" cy="175260"/>
                      <wp:effectExtent l="0" t="0" r="0" b="0"/>
                      <wp:wrapNone/>
                      <wp:docPr id="127" name="Frame1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5740" cy="175260"/>
                      <wp:effectExtent l="0" t="0" r="0" b="0"/>
                      <wp:wrapNone/>
                      <wp:docPr id="129" name="Frame12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5335" cy="175260"/>
                      <wp:effectExtent l="0" t="0" r="0" b="0"/>
                      <wp:wrapNone/>
                      <wp:docPr id="130" name="Frame130"/>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27,603</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27,141</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43,910</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38,106</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33,783</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31,508</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105,296</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96,755</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Company had an inventory reserve of $4,173 and $3,613, respectively.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15" w:name="Tc_KpyIAjIZM0OKi7WZhPUnkw_6_5"/>
      <w:bookmarkStart w:id="1116" w:name="Tc_s8Q6AFvl9US3eSjRxonjiQ_6_2"/>
      <w:bookmarkStart w:id="1117" w:name="Tc_JhTZ6m3mCUyB-70aB4RC0g_6_0"/>
      <w:bookmarkStart w:id="1118" w:name="Tc_SsRRXouvgkOOa8L0yjYp8A_5_0"/>
      <w:bookmarkStart w:id="1119" w:name="Tc_xqfe69oQ2EK8t7D8oUJzGA_4_0"/>
      <w:bookmarkStart w:id="1120" w:name="Tc_VDa2bJdpVUSb8fxYi-rp3Q_3_0"/>
      <w:bookmarkStart w:id="1121" w:name="Tc_dQE8aLunMkGJo1HGxNy86g_2_5"/>
      <w:bookmarkStart w:id="1122" w:name="Tc_k-tpMUvC6kigxW3r9Dy4KQ_2_2"/>
      <w:bookmarkStart w:id="1123" w:name="Tc_UOBELYAmAkKUY1wyfNY5ug_2_0"/>
      <w:bookmarkStart w:id="1124" w:name="Tc_CmS30QSIq0qvHlzv5yQmOQ_1_5"/>
      <w:bookmarkStart w:id="1125" w:name="Tc_oi8-BPkuAUWGOqMe7iQr7A_1_2"/>
      <w:bookmarkStart w:id="1126" w:name="Tc_-sE-Mym9rk6zPWs96v02qA_1_0"/>
      <w:bookmarkStart w:id="1127" w:name="Tc_FIWvQZECPkSp8fs5FWAxAA_7_5"/>
      <w:bookmarkStart w:id="1128" w:name="Tc_qCElXU0GrUyQkE809mfZSw_7_2"/>
      <w:bookmarkStart w:id="1129" w:name="Tc_DF_tbkf_EEq2KzYy2V2Kdg_7_0"/>
      <w:bookmarkStart w:id="1130" w:name="Tc_PKMdvCJyQEaDwFJtW-uK_g_6_0"/>
      <w:bookmarkStart w:id="1131" w:name="Tc_FtitQNv-b06j1CdWSxCW3Q_5_0"/>
      <w:bookmarkStart w:id="1132" w:name="Tc_tZS4Gbkd2Uy0VtttDBfl2w_4_0"/>
      <w:bookmarkStart w:id="1133" w:name="Tc_hsWWqA08gUSg3dujv61L4g_3_0"/>
      <w:bookmarkStart w:id="1134" w:name="Tc_XxYeM6TMFU2bMM7eY5GO5A_2_5"/>
      <w:bookmarkStart w:id="1135" w:name="Tc_WxUU0AXNaEyZAt6vsa_U8w_2_2"/>
      <w:bookmarkStart w:id="1136" w:name="Tc_mz0AZs5dZ0G5fL8DkdZIng_2_0"/>
      <w:bookmarkStart w:id="1137" w:name="Tc_d_b4TM1R2Um-S4_aCQBsMg_1_5"/>
      <w:bookmarkStart w:id="1138" w:name="Tc_5U_o-H5UD0W0v4f3j7CuJQ_1_2"/>
      <w:bookmarkStart w:id="1139" w:name="Tc_3z-8wk2U4kColwUwWn69gw_1_0"/>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rPr>
          <w:rFonts w:ascii="Times New Roman;Times;serif" w:hAnsi="Times New Roman;Times;serif"/>
          <w:b/>
          <w:sz w:val="20"/>
        </w:rPr>
        <w:t>Note 5 – Property, Plant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associated with property, plant and equipment was $7,576 and $8,531 for the six months ended June 30, 2026 and 2025,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plant and equipment, net, consists of the following:</w:t>
      </w:r>
    </w:p>
    <w:p>
      <w:pPr>
        <w:pStyle w:val="TextBody"/>
        <w:bidi w:val="0"/>
        <w:spacing w:before="0" w:after="240"/>
        <w:ind w:left="0" w:right="0" w:hanging="0"/>
        <w:jc w:val="both"/>
        <w:rPr/>
      </w:pPr>
      <w:r>
        <w:rPr/>
        <w:t>​</w:t>
      </w:r>
    </w:p>
    <w:tbl>
      <w:tblPr>
        <w:tblW w:w="6378" w:type="dxa"/>
        <w:jc w:val="left"/>
        <w:tblInd w:w="0" w:type="dxa"/>
        <w:tblLayout w:type="fixed"/>
        <w:tblCellMar>
          <w:top w:w="0" w:type="dxa"/>
          <w:left w:w="0" w:type="dxa"/>
          <w:bottom w:w="0" w:type="dxa"/>
          <w:right w:w="0" w:type="dxa"/>
        </w:tblCellMar>
      </w:tblPr>
      <w:tblGrid>
        <w:gridCol w:w="3016"/>
        <w:gridCol w:w="346"/>
        <w:gridCol w:w="239"/>
        <w:gridCol w:w="886"/>
        <w:gridCol w:w="346"/>
        <w:gridCol w:w="294"/>
        <w:gridCol w:w="125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15160" cy="175260"/>
                      <wp:effectExtent l="0" t="0" r="0" b="0"/>
                      <wp:wrapNone/>
                      <wp:docPr id="131" name="Frame13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51765" cy="175260"/>
                      <wp:effectExtent l="0" t="0" r="0" b="0"/>
                      <wp:wrapNone/>
                      <wp:docPr id="133" name="Frame13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62610" cy="175260"/>
                      <wp:effectExtent l="0" t="0" r="0" b="0"/>
                      <wp:wrapNone/>
                      <wp:docPr id="134" name="Frame1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6690" cy="175260"/>
                      <wp:effectExtent l="0" t="0" r="0" b="0"/>
                      <wp:wrapNone/>
                      <wp:docPr id="136" name="Frame13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94385" cy="175260"/>
                      <wp:effectExtent l="0" t="0" r="0" b="0"/>
                      <wp:wrapNone/>
                      <wp:docPr id="137" name="Frame137"/>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and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54,325</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55,331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352,266</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354,178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28,946</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55,725</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41,956</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493,194</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482,326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Accumulated depreciation</w:t>
      </w:r>
    </w:p>
    <w:p>
      <w:pPr>
        <w:pStyle w:val="TextBody"/>
        <w:bidi w:val="0"/>
        <w:spacing w:before="0" w:after="240"/>
        <w:ind w:left="0" w:right="0" w:hanging="0"/>
        <w:jc w:val="both"/>
        <w:rPr/>
      </w:pPr>
      <w:r>
        <w:rPr/>
        <w:t>​</w:t>
      </w:r>
    </w:p>
    <w:tbl>
      <w:tblPr>
        <w:tblW w:w="6063" w:type="dxa"/>
        <w:jc w:val="left"/>
        <w:tblInd w:w="0" w:type="dxa"/>
        <w:tblLayout w:type="fixed"/>
        <w:tblCellMar>
          <w:top w:w="0" w:type="dxa"/>
          <w:left w:w="0" w:type="dxa"/>
          <w:bottom w:w="0" w:type="dxa"/>
          <w:right w:w="0" w:type="dxa"/>
        </w:tblCellMar>
      </w:tblPr>
      <w:tblGrid>
        <w:gridCol w:w="2701"/>
        <w:gridCol w:w="346"/>
        <w:gridCol w:w="239"/>
        <w:gridCol w:w="886"/>
        <w:gridCol w:w="346"/>
        <w:gridCol w:w="294"/>
        <w:gridCol w:w="125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15135" cy="175260"/>
                      <wp:effectExtent l="0" t="0" r="0" b="0"/>
                      <wp:wrapNone/>
                      <wp:docPr id="138" name="Frame13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1765" cy="175260"/>
                      <wp:effectExtent l="0" t="0" r="0" b="0"/>
                      <wp:wrapNone/>
                      <wp:docPr id="140" name="Frame14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2610" cy="175260"/>
                      <wp:effectExtent l="0" t="0" r="0" b="0"/>
                      <wp:wrapNone/>
                      <wp:docPr id="141" name="Frame14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6690" cy="175260"/>
                      <wp:effectExtent l="0" t="0" r="0" b="0"/>
                      <wp:wrapNone/>
                      <wp:docPr id="143" name="Frame143"/>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94385" cy="175260"/>
                      <wp:effectExtent l="0" t="0" r="0" b="0"/>
                      <wp:wrapNone/>
                      <wp:docPr id="144" name="Frame144"/>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and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32,042</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31,691</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296,771</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292,736</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16,081</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16,062</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345,541</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341,022</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Asset Impairment charges of $226 and $12,100 were recorded for the six months ended June 30, 2026 and 2025, respectively, in association with the closing of the Osceola, Arkansas plant and the removal of assets prior to the end of their useful lives. See Note 16 – </w:t>
      </w:r>
      <w:r>
        <w:rPr>
          <w:rFonts w:ascii="Times New Roman;Times;serif" w:hAnsi="Times New Roman;Times;serif"/>
          <w:i/>
          <w:sz w:val="20"/>
        </w:rPr>
        <w:t>Restructuring</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40" w:name="Tc_saoQQtfmKUeLiux1WYr7uw_6_5"/>
      <w:bookmarkStart w:id="1141" w:name="Tc_GPcLjuOmq0GoRLGgtuVB6A_6_2"/>
      <w:bookmarkStart w:id="1142" w:name="Tc_VoBq1-NFVk6AnLHTcZwcow_6_0"/>
      <w:bookmarkStart w:id="1143" w:name="Tc_G6bo1MWrwUydtwt5nGA2jw_5_0"/>
      <w:bookmarkStart w:id="1144" w:name="Tc_S-2EWRViC0ex5H-JuLyezw_4_0"/>
      <w:bookmarkStart w:id="1145" w:name="Tc_b48sFCO81k-Hfqvq3oWZSA_3_5"/>
      <w:bookmarkStart w:id="1146" w:name="Tc_w1DD0OjlEkqEUWg5FcrQ9g_3_2"/>
      <w:bookmarkStart w:id="1147" w:name="Tc_7Ld65XWtcESX8x2aickslA_3_0"/>
      <w:bookmarkStart w:id="1148" w:name="Tc_T6-7u_g4mkSL0o5yz57NvQ_2_5"/>
      <w:bookmarkStart w:id="1149" w:name="Tc_Gg_jF50iBEmjKpVuHWyEow_2_2"/>
      <w:bookmarkStart w:id="1150" w:name="Tc_9aHkni00aES8k9xxdw-sug_2_0"/>
      <w:bookmarkStart w:id="1151" w:name="Tc_D1xHQfQIe0ipsYaqjOEL3g_1_5"/>
      <w:bookmarkStart w:id="1152" w:name="Tc_xuxBY70Dv0iIIaIRUsPrAg_1_2"/>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b/>
          <w:sz w:val="20"/>
        </w:rPr>
        <w:t>Note 6 –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current assets consist of the following:</w:t>
      </w:r>
    </w:p>
    <w:p>
      <w:pPr>
        <w:pStyle w:val="TextBody"/>
        <w:bidi w:val="0"/>
        <w:spacing w:before="0" w:after="0"/>
        <w:ind w:left="0" w:right="0" w:hanging="0"/>
        <w:jc w:val="left"/>
        <w:rPr/>
      </w:pPr>
      <w:r>
        <w:rPr/>
        <w:t>​</w:t>
      </w:r>
    </w:p>
    <w:tbl>
      <w:tblPr>
        <w:tblW w:w="4910" w:type="dxa"/>
        <w:jc w:val="left"/>
        <w:tblInd w:w="0" w:type="dxa"/>
        <w:tblLayout w:type="fixed"/>
        <w:tblCellMar>
          <w:top w:w="0" w:type="dxa"/>
          <w:left w:w="0" w:type="dxa"/>
          <w:bottom w:w="0" w:type="dxa"/>
          <w:right w:w="0" w:type="dxa"/>
        </w:tblCellMar>
      </w:tblPr>
      <w:tblGrid>
        <w:gridCol w:w="2146"/>
        <w:gridCol w:w="346"/>
        <w:gridCol w:w="211"/>
        <w:gridCol w:w="676"/>
        <w:gridCol w:w="346"/>
        <w:gridCol w:w="248"/>
        <w:gridCol w:w="937"/>
      </w:tblGrid>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7" name="Frame1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57480" cy="175260"/>
                      <wp:effectExtent l="0" t="0" r="0" b="0"/>
                      <wp:wrapNone/>
                      <wp:docPr id="149" name="Frame14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4995" cy="175260"/>
                      <wp:effectExtent l="0" t="0" r="0" b="0"/>
                      <wp:wrapNone/>
                      <wp:docPr id="150" name="Frame15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22,003</w:t>
            </w:r>
          </w:p>
        </w:tc>
        <w:tc>
          <w:tcPr>
            <w:tcW w:w="346" w:type="dxa"/>
            <w:tcBorders/>
            <w:shd w:fill="CCEEFF" w:val="clear"/>
            <w:vAlign w:val="center"/>
          </w:tcPr>
          <w:p>
            <w:pPr>
              <w:pStyle w:val="TableContents"/>
              <w:bidi w:val="0"/>
              <w:spacing w:before="0" w:after="1"/>
              <w:ind w:left="0" w:right="0" w:hanging="0"/>
              <w:jc w:val="center"/>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19,709</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19,568</w:t>
            </w:r>
          </w:p>
        </w:tc>
        <w:tc>
          <w:tcPr>
            <w:tcW w:w="346" w:type="dxa"/>
            <w:tcBorders/>
            <w:vAlign w:val="center"/>
          </w:tcPr>
          <w:p>
            <w:pPr>
              <w:pStyle w:val="TableContents"/>
              <w:bidi w:val="0"/>
              <w:spacing w:before="0" w:after="1"/>
              <w:ind w:left="0" w:right="0" w:hanging="0"/>
              <w:jc w:val="center"/>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18,988</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5,174</w:t>
            </w:r>
          </w:p>
        </w:tc>
        <w:tc>
          <w:tcPr>
            <w:tcW w:w="346" w:type="dxa"/>
            <w:tcBorders/>
            <w:shd w:fill="CCEEFF" w:val="clear"/>
            <w:vAlign w:val="center"/>
          </w:tcPr>
          <w:p>
            <w:pPr>
              <w:pStyle w:val="TableContents"/>
              <w:bidi w:val="0"/>
              <w:spacing w:before="0" w:after="1"/>
              <w:ind w:left="0" w:right="0" w:hanging="0"/>
              <w:jc w:val="center"/>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3,797</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46,745</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42,494</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3" w:name="Tc_hTvk9e8cJECjI3Z5HhaRTQ_13_5"/>
      <w:bookmarkStart w:id="1154" w:name="Tc_Q8syCX__20WhVvSvt6BHlA_13_2"/>
      <w:bookmarkStart w:id="1155" w:name="Tc_A7Lyu-6dgEKMXXWaSIRHgw_13_0"/>
      <w:bookmarkStart w:id="1156" w:name="Tc_g7gkL5v4dUu1RzB1ngqHEQ_12_6"/>
      <w:bookmarkStart w:id="1157" w:name="Tc_Mfg8T9L7eUSuDOEiyD8VmQ_12_0"/>
      <w:bookmarkStart w:id="1158" w:name="Tc_NAXRXi5woE-Tq2egysa4BQ_11_6"/>
      <w:bookmarkStart w:id="1159" w:name="Tc_K6d5Zanmykyf2w2pdixznw_11_0"/>
      <w:bookmarkStart w:id="1160" w:name="Tc_ANWV6yfsNEuPi5UxgU9knw_10_6"/>
      <w:bookmarkStart w:id="1161" w:name="Tc_tTKAh7pxK0i6ocmURz8DNw_10_5"/>
      <w:bookmarkStart w:id="1162" w:name="Tc_IigEPpazDE6ykffCYn0IMA_10_2"/>
      <w:bookmarkStart w:id="1163" w:name="Tc_9c2liAZjfk-FXPCdqUP62w_10_0"/>
      <w:bookmarkStart w:id="1164" w:name="Tc_VbPd7jH3tUOWaAmjoyECfg_9_0"/>
      <w:bookmarkStart w:id="1165" w:name="Tc_GNZz-D9zd0u4n7C6cFP48g_7_0"/>
      <w:bookmarkStart w:id="1166" w:name="Tc_jZ315IEiDUOxeewbajPaHg_6_3"/>
      <w:bookmarkStart w:id="1167" w:name="Tc_v8FMHWpFyEG6DplcK1yS3w_6_0"/>
      <w:bookmarkStart w:id="1168" w:name="Tc_7CInnEHibkOiJohj-1uoZA_5_3"/>
      <w:bookmarkStart w:id="1169" w:name="Tc_uv3-EiCuskiwFxj6NbLoRw_5_0"/>
      <w:bookmarkStart w:id="1170" w:name="Tc_VIxZoJlDYECQMau9QWexYg_4_0"/>
      <w:bookmarkStart w:id="1171" w:name="Tc_G3ZcLOJrp0WvCmDz3t8usA_3_5"/>
      <w:bookmarkStart w:id="1172" w:name="Tc__dP-3t-nZU-li1JDsOdC1A_3_2"/>
      <w:bookmarkStart w:id="1173" w:name="Tc_cRwSxgZnH0W4slINCTEN-Q_3_0"/>
      <w:bookmarkStart w:id="1174" w:name="Tc_1IRv80fVT0W1S0_yVawurQ_2_0"/>
      <w:bookmarkStart w:id="1175" w:name="Tc_zG4wF0WUlEWJRt1bOXUZCQ_1_5"/>
      <w:bookmarkStart w:id="1176" w:name="Tc_Co2t1nOzKEa3-0koC63BRg_1_2"/>
      <w:bookmarkStart w:id="1177" w:name="Tc_82-Gbw1vSEy9Qk2lTM841g_1_0"/>
      <w:bookmarkStart w:id="1178" w:name="Note7DebtObligations_777610"/>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r>
        <w:rPr>
          <w:rFonts w:ascii="Times New Roman;Times;serif" w:hAnsi="Times New Roman;Times;serif"/>
          <w:b/>
          <w:sz w:val="20"/>
        </w:rPr>
        <w:t>Note 7 – Debt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Debt obligations consist of the following:</w:t>
      </w:r>
    </w:p>
    <w:p>
      <w:pPr>
        <w:pStyle w:val="TextBody"/>
        <w:bidi w:val="0"/>
        <w:spacing w:before="0" w:after="240"/>
        <w:ind w:left="0" w:right="0" w:hanging="0"/>
        <w:jc w:val="both"/>
        <w:rPr/>
      </w:pPr>
      <w:r>
        <w:rPr/>
        <w:t>​</w:t>
      </w:r>
    </w:p>
    <w:tbl>
      <w:tblPr>
        <w:tblW w:w="6754" w:type="dxa"/>
        <w:jc w:val="left"/>
        <w:tblInd w:w="0" w:type="dxa"/>
        <w:tblLayout w:type="fixed"/>
        <w:tblCellMar>
          <w:top w:w="0" w:type="dxa"/>
          <w:left w:w="0" w:type="dxa"/>
          <w:bottom w:w="0" w:type="dxa"/>
          <w:right w:w="0" w:type="dxa"/>
        </w:tblCellMar>
      </w:tblPr>
      <w:tblGrid>
        <w:gridCol w:w="3391"/>
        <w:gridCol w:w="346"/>
        <w:gridCol w:w="239"/>
        <w:gridCol w:w="886"/>
        <w:gridCol w:w="346"/>
        <w:gridCol w:w="297"/>
        <w:gridCol w:w="1249"/>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53285" cy="175260"/>
                      <wp:effectExtent l="0" t="0" r="0" b="0"/>
                      <wp:wrapNone/>
                      <wp:docPr id="151" name="Frame151"/>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1765" cy="175260"/>
                      <wp:effectExtent l="0" t="0" r="0" b="0"/>
                      <wp:wrapNone/>
                      <wp:docPr id="153" name="Frame15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62610" cy="175260"/>
                      <wp:effectExtent l="0" t="0" r="0" b="0"/>
                      <wp:wrapNone/>
                      <wp:docPr id="154" name="Frame1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8595" cy="175260"/>
                      <wp:effectExtent l="0" t="0" r="0" b="0"/>
                      <wp:wrapNone/>
                      <wp:docPr id="156" name="Frame156"/>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93115" cy="175260"/>
                      <wp:effectExtent l="0" t="0" r="0" b="0"/>
                      <wp:wrapNone/>
                      <wp:docPr id="157" name="Frame157"/>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credit facility</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41,750</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130,375</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11,631</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short-term deferred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short-term debt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54,468</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141,774</w:t>
            </w:r>
          </w:p>
        </w:tc>
      </w:tr>
      <w:tr>
        <w:trPr/>
        <w:tc>
          <w:tcPr>
            <w:tcW w:w="33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76,875</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long-term deferred financing costs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74,929</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129,397</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141,774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Senior Credit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9, 2020, the Company and certain of its subsidiaries, entered into a certain Credit Agreement (the “Credit Agreement”) with the various lenders named therein and Bank of America, N.A., as administrative agent for the lenders (the “Administrative Agent”), providing for a $150,000 term loan (the “Term Loan”) and a $30,000 revolving credit facility (the “Revolving Credit Facility” and together with the Term Loan, the “Senior Credit Facility”) as amended by the First Amendment to Credit Agreement dated as of August 13, 2021, the Second Amendment to Credit Agreement dated as of August 10, 2022 and as further amended by the Limited Waiver and Third Amendment to Credit Agreement dated as of February 14, 2025 (the “Third Amendment”) as described below.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Second Amendment to the Senior Credit Facility increased the commitment of the New Revolving Credit Facility to $37,000 and transitioned Term Loans on September 30, 2022 and Revolving Loans on August 30, 2022 from LIBOR Loans to SOFR Loans. Amended terms of the facility are stated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Third Amendment includes a waiver on covenants for the year ended December 31, 2024, and a relief period for year 2025 (the “Covenant Relief Period”). During the Covenant Relief Period, the consolidated leverage ratio was increased to 4.00X through December 31, 2025. The consolidated fixed charge coverage ratio was modified to include only maintenance capital expenditures and a year-to-date build basis for quarter end calculation. On December 31, 2025, the consolidated fixed charge coverage ratio returned to an LTM basis. During the Covenant Relief Period, restricted payments, permitted acquisitions and other investments as defined by the Credit Agreement were not allowed and the accordion feature of the credit facility, which allowed for an increase in borrowings under the facility was suspended.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26, 2025, the Company entered into the Fourth Amendment to its Senior Credit Facility. There were no changes to the facility amounts or maturity dates and repayment terms remained largely unchanged except for mandatory prepayments equal to $15,000 upon the closing of the Enzon Merger by December 31, 2025 or $11,250 if the Merger closed after December 31, 2025. The amendment also allowed for certain exclusions relative to the Merger for its financial covenants and EBIDTA addback amounts.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10, 2025, we finalized the Fifth Amendment to our credit agreement, which modified certain of our financial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23, 2026, we finalized the Sixth Amendment to our credit agreement, which includes a waiver on covenants for the year ended December 31, 2025. The Sixth Amendment, among other items, (i) requires Viskase to cooperate with the Administrative Agent’s financial advisor by providing access to Viskase’s facilities, financial information and senior management as required by the financial advisor and to reimburse the Administrative Agent for reasonable costs and fees associated with the engagement of the financial advisor’s services; (ii) subject to exceptions enumerated in the Sixth Amendment, Viskase and certain of its subsidiaries may not incur certain types of indebtedness of an aggregate of more than $100 at any one time; and (iii) Viskase and certain of its subsidiaries may not advance to officers, directors, and employees an aggregate amount greater than $50 at any one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16, 2026, we finalized the Seventh Amendment to our Credit Agreement, which extended the Maturity Date from August 13, 2026 until August 13, 2027, amended the definition of Applicable Rate to increase the interest rate, amended the definition of Consolidated EBITDA to address the treatment of certain restructuring and transaction related costs and expenses, amends the definition of Permitted Transfers to allow the disposition of the equipment, real property and improvements of the Osceola Facility and the real property and improvements of the Chicago Property, and amended certain thresholds for obligations under the Existing Credit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interest rates per annum applicable to the Amended Senior Credit Facility (other than in respect of Swingline Loans) are SOFR, but in any event, not less than 0.00%, plus the Applicable Rate (as defined below), or, for U.S. dollar denominated loans only, made to the Company at the option of the Company, the Base Rate, defined as the highest of: (a) the Federal Funds Rate plus one-half percent (0.50%); (b) the Bank of America prime rate; and (c) the one (1) month SOFR (adjusted daily) plus one percent (1.00%), but in any case not less than 1.00%, plus the Applicable Rate. Applicable Rate means, with respect to the Amended Senior Credit Facility, a percentage per annum to be determined in accordance with the applicable pricing grid set forth in the Amended Senior Credit Facility based upon the Company’s Consolidated Coverage Ratio as reflected in a quarterly Compliance Certificate. Each Swingline Loan shall bear interest at the Base Rate plus the Applicable Rate for Base Rate loans under the New Revolving Credit Facility.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our current interest rate is 7.83%. The effective interest rate of the Term Loan as of June 30, 2026 is 8.92%, which is determined in accordance with ASC 310-20-35, based on the variable rate in effect at inception of the instrument.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may prepay the Amended Senior Credit Facility, in whole or in part, at any time without premium or penalty, subject to reimbursement of the Lenders’ breakage and redeployment costs in the case of prepayment of SOFR borrowings and foreign currency borrowings bearing interest at a rate other than SOFR. Each such prepayment of the New Term Facility shall be applied as directed by the Company. The unutilized portion of the commitments under the Amended Senior Credit Facility may be irrevocably reduced or terminated by the Company at any time without penalty.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Amended Senior Credit Facility is guaranteed by each existing and future direct and indirect wholly owned material domestic Restricted Subsidiary and foreign Restricted Subsidiary of the Company (other than any Brazilian subsidiary). The Amended Senior Credit Facility is secured by substantially all assets of the Company and its material domestic Restricted Subsidiaries, with the exception of real property.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Amended Senior Credit Facility contains various covenants which restrict the Company’s ability to, among other things, incur indebtedness, create liens on our assets, make investments, enter into merger, consolidation or acquisition transactions, dispose of assets (other than in the ordinary course of business), make certain restricted payments, enter into sale and leaseback transactions and transactions with affiliates, in each case subject to permitted exceptions. The Amended Senior Credit Facility also requires that we comply with certain financial covenants, including meeting a consolidated leverage ratio and consolidated fixed charge coverage ratio.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in compliance with the amended covenants under its Amended Senior Creidt Facility as of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Foreign Lines of Credit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its foreign operations, the Company has unsecured lines of credit with various banks providing approximately $12,200 of availability. There were borrowings of $12,138 under the lines of credit at June 30, 2026 and borrowings of $11,631 under the lines of credit at December 31, 2025. As of June 30, 2026, our current interest rate is 3.91%. The line of credit is an uncommitted facility that can be terminated at any time with payment on demand.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79" w:name="Tc_xb1u6-47IUCNoq4RZexCIw_5_18"/>
      <w:bookmarkStart w:id="1180" w:name="Tc_9sF8FUYF-0WCDwatrwzXMw_5_17"/>
      <w:bookmarkStart w:id="1181" w:name="Tc_e-IePar5d0-3CJnzPoEO4Q_5_15"/>
      <w:bookmarkStart w:id="1182" w:name="Tc_IQc4Vs105kiI_QA6W9dzCA_5_14"/>
      <w:bookmarkStart w:id="1183" w:name="Tc_p6AW439laESKT7aWeRStHw_5_12"/>
      <w:bookmarkStart w:id="1184" w:name="Tc_6x0V4q9Vt02e-wtw6DGgUg_5_11"/>
      <w:bookmarkStart w:id="1185" w:name="Tc_pDjL7b1ibkCWzeLZTtNuHQ_5_9"/>
      <w:bookmarkStart w:id="1186" w:name="Tc_zgBJOT4Fk0SQQ0JIAWjWUw_5_8"/>
      <w:bookmarkStart w:id="1187" w:name="Tc_yVltcUmTIkadIss-mFBLTA_5_5"/>
      <w:bookmarkStart w:id="1188" w:name="Tc_fuS15TvkKEeS_G-D8laTgw_5_2"/>
      <w:bookmarkStart w:id="1189" w:name="Tc_hauUoE_5AEK-Ak-zT6oSmg_5_0"/>
      <w:bookmarkStart w:id="1190" w:name="Tc_1Bz-pB9YGUu8FG9DYuc6EQ_4_18"/>
      <w:bookmarkStart w:id="1191" w:name="Tc_D_SJmrC-z0mTrfRk4A42aQ_4_15"/>
      <w:bookmarkStart w:id="1192" w:name="Tc_1fH3Zl9dNEiMQFZtJBFnNA_4_12"/>
      <w:bookmarkStart w:id="1193" w:name="Tc_jF--NdajHUSsvSUE6Qu6MQ_4_9"/>
      <w:bookmarkStart w:id="1194" w:name="Tc_lIm7Xkb_NkGtCYOUXontxw_4_6"/>
      <w:bookmarkStart w:id="1195" w:name="Tc_5-gcfYiRwkumLme4rApl6A_4_0"/>
      <w:bookmarkStart w:id="1196" w:name="Tc_gTSHqhttIUqcJoZhZcCn8Q_3_18"/>
      <w:bookmarkStart w:id="1197" w:name="Tc_n9zMPjkWgEq0HMoi8Q8XxQ_3_15"/>
      <w:bookmarkStart w:id="1198" w:name="Tc_sdv9V5QDoE6CPa-XqT0waw_3_12"/>
      <w:bookmarkStart w:id="1199" w:name="Tc_fjrYZJmmgkSprtziHx96fg_3_9"/>
      <w:bookmarkStart w:id="1200" w:name="Tc_XuLoLgYoukuRwD07GasGTg_3_6"/>
      <w:bookmarkStart w:id="1201" w:name="Tc_v-SparO5tkmsZ8dvsiivkw_3_0"/>
      <w:bookmarkStart w:id="1202" w:name="Tc_lkip2Z4KuEiuZ68Hg6G-kw_2_18"/>
      <w:bookmarkStart w:id="1203" w:name="Tc_hJ9OVtaw2EuabFtoJ_3EUQ_2_17"/>
      <w:bookmarkStart w:id="1204" w:name="Tc_zh3ibHgY50y3SW6NbTxOoA_2_15"/>
      <w:bookmarkStart w:id="1205" w:name="Tc_TrU3Uq83A0mAPwNoCCooSg_2_14"/>
      <w:bookmarkStart w:id="1206" w:name="Tc_G4UT5tc7u0WQmUeIMMptfw_2_12"/>
      <w:bookmarkStart w:id="1207" w:name="Tc_Fsw0XYoN4E60iVgJEv_7FA_2_11"/>
      <w:bookmarkStart w:id="1208" w:name="Tc_ZewMebSCrEa-YED4NEBujg_2_9"/>
      <w:bookmarkStart w:id="1209" w:name="Tc_yg9lZz6U30m-qH5SAsmlhQ_2_8"/>
      <w:bookmarkStart w:id="1210" w:name="Tc_z_sgQ5iF5k-Ut6SlyJJkZw_2_5"/>
      <w:bookmarkStart w:id="1211" w:name="Tc_VqVplG1h3kSl8PXhXGo6cg_2_2"/>
      <w:bookmarkStart w:id="1212" w:name="Tc_9yIDij39SkCjQpDUqUZQTQ_2_0"/>
      <w:bookmarkStart w:id="1213" w:name="Tc_RP_UKIBCiUa-Y7rguR0ZDA_1_17"/>
      <w:bookmarkStart w:id="1214" w:name="Tc_C2iKZSXfskeYfP5w32rhBg_1_14"/>
      <w:bookmarkStart w:id="1215" w:name="Tc_P5zxn8UihkicpsoBbjQzFQ_1_11"/>
      <w:bookmarkStart w:id="1216" w:name="Tc_KDeO9muPV0ucCQZOSDz_Jg_1_8"/>
      <w:bookmarkStart w:id="1217" w:name="Tc_d-3lQl84wU6H1JZxJ92pCQ_1_5"/>
      <w:bookmarkStart w:id="1218" w:name="Tc_sUZZUC9dSUy6t0QFXfLSQg_1_2"/>
      <w:bookmarkStart w:id="1219" w:name="_6ed9302c_df0e_4465_995a_9512812a7b04"/>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sz w:val="20"/>
        </w:rPr>
        <w:t>Debt Maturity</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The aggregate maturities of debt </w:t>
      </w:r>
      <w:r>
        <w:rPr>
          <w:rFonts w:ascii="Times New Roman;Times;serif" w:hAnsi="Times New Roman;Times;serif"/>
          <w:sz w:val="15"/>
        </w:rPr>
        <w:t>(1)</w:t>
      </w:r>
      <w:r>
        <w:rPr>
          <w:rFonts w:ascii="Times New Roman;Times;serif" w:hAnsi="Times New Roman;Times;serif"/>
          <w:sz w:val="20"/>
        </w:rPr>
        <w:t xml:space="preserve"> for each of the next five years are:</w:t>
      </w:r>
    </w:p>
    <w:p>
      <w:pPr>
        <w:pStyle w:val="TextBody"/>
        <w:bidi w:val="0"/>
        <w:spacing w:before="0" w:after="240"/>
        <w:ind w:left="0" w:right="0" w:hanging="0"/>
        <w:jc w:val="both"/>
        <w:rPr/>
      </w:pPr>
      <w:r>
        <w:rPr/>
        <w:t>​</w:t>
      </w:r>
    </w:p>
    <w:tbl>
      <w:tblPr>
        <w:tblW w:w="8703" w:type="dxa"/>
        <w:jc w:val="left"/>
        <w:tblInd w:w="0" w:type="dxa"/>
        <w:tblLayout w:type="fixed"/>
        <w:tblCellMar>
          <w:top w:w="0" w:type="dxa"/>
          <w:left w:w="0" w:type="dxa"/>
          <w:bottom w:w="0" w:type="dxa"/>
          <w:right w:w="0" w:type="dxa"/>
        </w:tblCellMar>
      </w:tblPr>
      <w:tblGrid>
        <w:gridCol w:w="2251"/>
        <w:gridCol w:w="346"/>
        <w:gridCol w:w="211"/>
        <w:gridCol w:w="676"/>
        <w:gridCol w:w="346"/>
        <w:gridCol w:w="211"/>
        <w:gridCol w:w="676"/>
        <w:gridCol w:w="346"/>
        <w:gridCol w:w="211"/>
        <w:gridCol w:w="346"/>
        <w:gridCol w:w="346"/>
        <w:gridCol w:w="211"/>
        <w:gridCol w:w="346"/>
        <w:gridCol w:w="346"/>
        <w:gridCol w:w="211"/>
        <w:gridCol w:w="346"/>
        <w:gridCol w:w="346"/>
        <w:gridCol w:w="291"/>
        <w:gridCol w:w="640"/>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29385" cy="175260"/>
                      <wp:effectExtent l="0" t="0" r="0" b="0"/>
                      <wp:wrapNone/>
                      <wp:docPr id="158" name="Frame158"/>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4785" cy="175260"/>
                      <wp:effectExtent l="0" t="0" r="0" b="0"/>
                      <wp:wrapNone/>
                      <wp:docPr id="175" name="Frame17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06400" cy="175260"/>
                      <wp:effectExtent l="0" t="0" r="0" b="0"/>
                      <wp:wrapNone/>
                      <wp:docPr id="176" name="Frame176"/>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pPr>
            <w:r>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 </w:t>
            </w:r>
          </w:p>
        </w:tc>
        <w:tc>
          <w:tcPr>
            <w:tcW w:w="640" w:type="dxa"/>
            <w:tcBorders/>
            <w:vAlign w:val="center"/>
          </w:tcPr>
          <w:p>
            <w:pPr>
              <w:pStyle w:val="TableContents"/>
              <w:bidi w:val="0"/>
              <w:spacing w:before="0" w:after="1"/>
              <w:ind w:left="0" w:right="0" w:hanging="0"/>
              <w:jc w:val="right"/>
              <w:rPr/>
            </w:pPr>
            <w:r>
              <w:rPr/>
              <w:t>—</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aggregate maturities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tbl>
      <w:tblPr>
        <w:tblW w:w="10172" w:type="dxa"/>
        <w:jc w:val="left"/>
        <w:tblInd w:w="0" w:type="dxa"/>
        <w:tblLayout w:type="fixed"/>
        <w:tblCellMar>
          <w:top w:w="0" w:type="dxa"/>
          <w:left w:w="0" w:type="dxa"/>
          <w:bottom w:w="0" w:type="dxa"/>
          <w:right w:w="0" w:type="dxa"/>
        </w:tblCellMar>
      </w:tblPr>
      <w:tblGrid>
        <w:gridCol w:w="346"/>
        <w:gridCol w:w="98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maturities of debt represent amounts to be paid at maturity and not the current carrying value of the debt.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20" w:name="Tc_t6UYk6s84U6PdFF6N6-y4w_21_11"/>
      <w:bookmarkStart w:id="1221" w:name="Tc_xfZk12dbmUiaCtDWuyH-EQ_21_8"/>
      <w:bookmarkStart w:id="1222" w:name="Tc_YmNTbEvmW0eD91fDsiEgww_21_5"/>
      <w:bookmarkStart w:id="1223" w:name="Tc_xo0q9eQqYkuIpXKXwZ33kQ_21_2"/>
      <w:bookmarkStart w:id="1224" w:name="Tc_EKicMsjGBkigq8G9enzn8g_19_12"/>
      <w:bookmarkStart w:id="1225" w:name="Tc_ymHRcltm8Ui0lKElHNC8_A_19_6"/>
      <w:bookmarkStart w:id="1226" w:name="Tc_tAfF8BJo50at3xWafTSiaA_19_0"/>
      <w:bookmarkStart w:id="1227" w:name="Tc_9BaGzzRE3ESyxCRzLBygvA_18_0"/>
      <w:bookmarkStart w:id="1228" w:name="Tc_rA3_4liesUuiOhKGBp5Scw_17_0"/>
      <w:bookmarkStart w:id="1229" w:name="Tc_IFCreRTr80q3Kajfb9BKbQ_16_11"/>
      <w:bookmarkStart w:id="1230" w:name="Tc_LcI9kFVuUUCAveLE8t0y0g_16_8"/>
      <w:bookmarkStart w:id="1231" w:name="Tc_sDOAvhdBkkGcQkC1IKOhXg_16_5"/>
      <w:bookmarkStart w:id="1232" w:name="Tc__XaXtiYx4kCamSnjoCEKlQ_16_2"/>
      <w:bookmarkStart w:id="1233" w:name="Tc_Qq06eZvL-0qI5AjPnP2waw_16_0"/>
      <w:bookmarkStart w:id="1234" w:name="Tc_HMhhmS1Yn0qcudQA3D79WQ_15_0"/>
      <w:bookmarkStart w:id="1235" w:name="Tc_9CyTXAei-EGq_h3Y9cBJKQ_14_11"/>
      <w:bookmarkStart w:id="1236" w:name="Tc_GX9SrgyBCkOqXvjJzqeiUw_14_8"/>
      <w:bookmarkStart w:id="1237" w:name="Tc_DGlhNVqm40eG-G-SjnK5BA_14_5"/>
      <w:bookmarkStart w:id="1238" w:name="Tc_Nxwz8odUy0CkjhkBq5v9Jw_14_2"/>
      <w:bookmarkStart w:id="1239" w:name="Tc_kgcq5EmqwUKEzMc6BTdsgQ_13_11"/>
      <w:bookmarkStart w:id="1240" w:name="Tc_ShcZQsQxtE6YEp44IudV_g_13_8"/>
      <w:bookmarkStart w:id="1241" w:name="Tc_0LxZiA6jfUm_6sGn3v0ULA_13_5"/>
      <w:bookmarkStart w:id="1242" w:name="Tc_QHmQdLaBO0S0TGPXB_It6A_13_2"/>
      <w:bookmarkStart w:id="1243" w:name="Tc_hKookwqXM0-mJZ8mb3aGtw_12_2"/>
      <w:bookmarkStart w:id="1244" w:name="Tc_2RFTmJMexkGE3RVDA-XEbg_10_11"/>
      <w:bookmarkStart w:id="1245" w:name="Tc_PIyPCG-QtEelTdcbFYLL2Q_10_8"/>
      <w:bookmarkStart w:id="1246" w:name="Tc_MdOqPLhPb0S8idzegxS0Xg_10_5"/>
      <w:bookmarkStart w:id="1247" w:name="Tc_V-B7PMr_v0a7pyFhy-4GVw_10_2"/>
      <w:bookmarkStart w:id="1248" w:name="Tc_ulOsa7yrlUGgG_ydq4z9ag_9_0"/>
      <w:bookmarkStart w:id="1249" w:name="Tc_wjybX9tCcE6sdwjtTfGpew_8_12"/>
      <w:bookmarkStart w:id="1250" w:name="Tc_sPEKOOkz2E2K-2RFbIU8AA_8_9"/>
      <w:bookmarkStart w:id="1251" w:name="Tc_NCI3SgW4p02lwLO1_t8H3A_8_6"/>
      <w:bookmarkStart w:id="1252" w:name="Tc_FtOJCF_JJkC7DenVkkdN0g_8_3"/>
      <w:bookmarkStart w:id="1253" w:name="Tc_BXv9zVvIqk2vGQMfVmStIw_8_0"/>
      <w:bookmarkStart w:id="1254" w:name="Tc_62knxZGe8kad16bNKY_YCg_7_0"/>
      <w:bookmarkStart w:id="1255" w:name="Tc_5E3pl5h4OEC3ZGGM-mKLlw_6_0"/>
      <w:bookmarkStart w:id="1256" w:name="Tc_Ug_urTuC0kGNjb6mtZQuxA_5_12"/>
      <w:bookmarkStart w:id="1257" w:name="Tc_cs0NPCrOcUeruhQy7IjHJw_5_11"/>
      <w:bookmarkStart w:id="1258" w:name="Tc_vLEqCVx30EeqNiMBqFmugA_5_9"/>
      <w:bookmarkStart w:id="1259" w:name="Tc_eL4UjmlGpU6-r26gu9qPwg_5_8"/>
      <w:bookmarkStart w:id="1260" w:name="Tc_VDUiGzmNB0GRqie4WPmmDQ_5_6"/>
      <w:bookmarkStart w:id="1261" w:name="Tc_wSmyfTWmzkii_UIu1849iw_5_5"/>
      <w:bookmarkStart w:id="1262" w:name="Tc_YlEL0mDq80OTKMINZALTiw_5_3"/>
      <w:bookmarkStart w:id="1263" w:name="Tc_Zwkf0Dw0i0eQR2i8sM7gOg_5_2"/>
      <w:bookmarkStart w:id="1264" w:name="Tc_uCNoXhyWzk-t0eKEHsDXvg_5_0"/>
      <w:bookmarkStart w:id="1265" w:name="Tc_zx73Knbdr0qB9A7utokHqw_4_0"/>
      <w:bookmarkStart w:id="1266" w:name="Tc_ZQDYOqMz5U-8DSF99s0QAA_3_11"/>
      <w:bookmarkStart w:id="1267" w:name="Tc_q9ryMEO7EEu4uxkju2ga5g_3_8"/>
      <w:bookmarkStart w:id="1268" w:name="Tc_pCY5ko02qka5AsvKf8OAKw_3_5"/>
      <w:bookmarkStart w:id="1269" w:name="Tc_4Jt3S7KqI0G4z7c8ao7sGw_3_2"/>
      <w:bookmarkStart w:id="1270" w:name="Tc_nO9nKpxmtECFDmiOMGtr3Q_2_11"/>
      <w:bookmarkStart w:id="1271" w:name="Tc_0MZ4whkhrEWZHxCGZPTuwQ_2_8"/>
      <w:bookmarkStart w:id="1272" w:name="Tc_YB6YTY7Ob0mSfIcrdkdLZg_2_5"/>
      <w:bookmarkStart w:id="1273" w:name="Tc_QfgAfmC0x0--8RmO2tw3rg_2_2"/>
      <w:bookmarkStart w:id="1274" w:name="Tc_U82Gi0lv-UWGR6A8I6z0Eg_1_2"/>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rFonts w:ascii="Times New Roman;Times;serif" w:hAnsi="Times New Roman;Times;serif"/>
          <w:b/>
          <w:sz w:val="20"/>
        </w:rPr>
        <w:t>Note 8 – Retirement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contributed $518 and $1,123 to pension benefits in the U.S. during the six months ended June 30, 2026 and June 30,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subsidiaries have defined contribution and defined benefit plans varying by country and subsidiary.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operations in the United States, France, Philippines and Germany historically offered defined benefit retirement plans (“Plan”) to their employees. Most of these benefits have been terminated, resulting in various reductions in liabilities and curtailment gains.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our adoption of FASB issued ASU No. 2017-07, Improving the Presentation of Net Periodic Pension Cost and Net Periodic Postretirement Benefit Cost, the components of net periodic benefit cost other than the service cost component are included in the line item other expense in the income statement.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sets forth the components of net periodic benefit cost for the periods indicated: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42"/>
        <w:gridCol w:w="346"/>
        <w:gridCol w:w="402"/>
        <w:gridCol w:w="1204"/>
        <w:gridCol w:w="346"/>
        <w:gridCol w:w="402"/>
        <w:gridCol w:w="1204"/>
        <w:gridCol w:w="346"/>
        <w:gridCol w:w="353"/>
        <w:gridCol w:w="1058"/>
        <w:gridCol w:w="346"/>
        <w:gridCol w:w="346"/>
        <w:gridCol w:w="1110"/>
      </w:tblGrid>
      <w:tr>
        <w:trPr/>
        <w:tc>
          <w:tcPr>
            <w:tcW w:w="2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41170" cy="175260"/>
                      <wp:effectExtent l="0" t="0" r="0" b="0"/>
                      <wp:wrapNone/>
                      <wp:docPr id="177" name="Frame177"/>
                      <a:graphic xmlns:a="http://schemas.openxmlformats.org/drawingml/2006/main">
                        <a:graphicData uri="http://schemas.microsoft.com/office/word/2010/wordprocessingShape">
                          <wps:wsp>
                            <wps:cNvSpPr txBox="1"/>
                            <wps:spPr>
                              <a:xfrm>
                                <a:off x="0" y="0"/>
                                <a:ext cx="174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55270" cy="175260"/>
                      <wp:effectExtent l="0" t="0" r="0" b="0"/>
                      <wp:wrapNone/>
                      <wp:docPr id="179" name="Frame17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64540" cy="175260"/>
                      <wp:effectExtent l="0" t="0" r="0" b="0"/>
                      <wp:wrapNone/>
                      <wp:docPr id="180" name="Frame180"/>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55270" cy="175260"/>
                      <wp:effectExtent l="0" t="0" r="0" b="0"/>
                      <wp:wrapNone/>
                      <wp:docPr id="182" name="Frame18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64540" cy="175260"/>
                      <wp:effectExtent l="0" t="0" r="0" b="0"/>
                      <wp:wrapNone/>
                      <wp:docPr id="183" name="Frame183"/>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4155" cy="175260"/>
                      <wp:effectExtent l="0" t="0" r="0" b="0"/>
                      <wp:wrapNone/>
                      <wp:docPr id="185" name="Frame18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71830" cy="175260"/>
                      <wp:effectExtent l="0" t="0" r="0" b="0"/>
                      <wp:wrapNone/>
                      <wp:docPr id="186" name="Frame186"/>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04850" cy="175260"/>
                      <wp:effectExtent l="0" t="0" r="0" b="0"/>
                      <wp:wrapNone/>
                      <wp:docPr id="189" name="Frame189"/>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11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Pension Benefits</w: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6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1"/>
              <w:ind w:left="0" w:right="0" w:hanging="0"/>
              <w:jc w:val="left"/>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7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of net period benefit cost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05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left"/>
              <w:rPr/>
            </w:pPr>
            <w:r>
              <w:rPr/>
              <w:t>​</w:t>
            </w:r>
          </w:p>
        </w:tc>
      </w:tr>
      <w:tr>
        <w:trPr/>
        <w:tc>
          <w:tcPr>
            <w:tcW w:w="27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1"/>
              <w:ind w:left="0" w:right="0" w:hanging="0"/>
              <w:jc w:val="right"/>
              <w:rPr/>
            </w:pPr>
            <w:r>
              <w:rPr/>
              <w:t>—</w:t>
            </w:r>
          </w:p>
        </w:tc>
      </w:tr>
      <w:tr>
        <w:trPr/>
        <w:tc>
          <w:tcPr>
            <w:tcW w:w="27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w:t>
            </w:r>
          </w:p>
        </w:tc>
      </w:tr>
      <w:tr>
        <w:trPr/>
        <w:tc>
          <w:tcPr>
            <w:tcW w:w="27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27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0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w:t>
            </w:r>
          </w:p>
        </w:tc>
      </w:tr>
      <w:tr>
        <w:trPr/>
        <w:tc>
          <w:tcPr>
            <w:tcW w:w="27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actuarial loss</w:t>
            </w:r>
          </w:p>
        </w:tc>
        <w:tc>
          <w:tcPr>
            <w:tcW w:w="34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7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0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right"/>
              <w:rPr/>
            </w:pPr>
            <w:r>
              <w:rPr/>
              <w:t>​</w: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17" w:type="dxa"/>
            <w:gridSpan w:val="11"/>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Non U.S. Pension Benefits</w: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6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1"/>
              <w:ind w:left="0" w:right="0" w:hanging="0"/>
              <w:jc w:val="left"/>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7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of net period benefit cost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05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  ​</w:t>
            </w:r>
          </w:p>
        </w:tc>
      </w:tr>
      <w:tr>
        <w:trPr/>
        <w:tc>
          <w:tcPr>
            <w:tcW w:w="27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27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27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7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w:t>
            </w:r>
          </w:p>
        </w:tc>
      </w:tr>
      <w:tr>
        <w:trPr/>
        <w:tc>
          <w:tcPr>
            <w:tcW w:w="2742"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actuarial loss</w:t>
            </w:r>
          </w:p>
        </w:tc>
        <w:tc>
          <w:tcPr>
            <w:tcW w:w="34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7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Savings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also has defined contribution savings and similar plans for eligible employees, which vary by subsidiary. The Company’s aggregate contributions to these plans are based on eligible employee contributions and certain other factors. The Company expenses for these plans for the six months ended June 30, 2026 and June 30, 2025 were approximately $491 and $412,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Capital Stock, Treasury Stock and Paid in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discussed in Note 2 - </w:t>
      </w:r>
      <w:r>
        <w:rPr>
          <w:rFonts w:ascii="Times New Roman;Times;serif" w:hAnsi="Times New Roman;Times;serif"/>
          <w:i/>
          <w:sz w:val="20"/>
        </w:rPr>
        <w:t>Merger</w:t>
      </w:r>
      <w:r>
        <w:rPr>
          <w:rFonts w:ascii="Times New Roman;Times;serif" w:hAnsi="Times New Roman;Times;serif"/>
          <w:sz w:val="20"/>
        </w:rPr>
        <w:t>, the previously announced Merger between Viskase Companies, Merger Sub, and Enzon, was completed on March 26, 2026. The shares of legacy Viskase Companies, prior to the Merger, have been retroactively restated as shares reflecting the Exchange Ratio established in the Merger.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Authorized Capital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Immediately following the Closing and after giving effect to the Merger, the Company’s authorized capital stock consists of 170,000,000 shares of common stock, par value $0.01 per share, and 3,000,000 shares of preferred stock, par value $0.01 per share, as provided in the amended and restated certificate of incorporation of Enzon dated July 13, 2010.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384 shares of preferred stock designated as Series C Preferred Stock were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2025, no shares of preferred stock were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terms of the Series C Preferred Stock provide, on an annual basis, that the Board may, at its sole discretion, cause a dividend with respect to the Series C Preferred Stock to be paid in cash to the holders in an amount equal to 3% of the liquidation preference as in effect at such time (initially $1,000 per share). If the dividend is not so paid in cash, the liquidation preference is adjusted and increased annually by an amount equal to 5% of the liquidation preference per share as in effect at such time, that is not paid in cash to the holders on such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able to redeem for cash the Series C Preferred Stock at any time, in whole or in part, for an amount based on the liquidation preference per share as in effect at such time. Additionally, the holders of Series C Preferred Stock have the right to redeem their shares of Series C Preferred Stock for cash at any time, following the Merger, in whole or in part, for an amount based on the liquidation preference per share as in effect at such time. Accordingly, the Series C Preferred Stock has been classified in mezzanine equity on the condensed consolidated balance sheet.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Series C Preferred Stock have no special voting rights and, except as required by Delaware law, their consent will not be required for taking any corporate action.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Treasury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2004, Viskase Companies purchased 805,270 shares of its common stock from the underwriter for a purchase price of $298. These shares were accounted for as treasury shares. All Viskase Companies treasury shares were cancelled in connection with the Merger and are no longer outstanding.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had 14,371,173 and 6,651,652 shares of common stock issued and 14,331,620 and 6,612,099 shares outstanding of common stock as of June 30, 2026 and December 31,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share of common stock entitles the holder to one vote on all matters submitted to a vote of the Company’s stockholders. Common stockholders are entitled to receive dividends, as may be declared by the board of directors, subject to the preferential dividend rights of Preferred Stock, if any. As of June 30, 2026 and December 31, 2025, no cash dividends had been declared or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2026, Viskase Companies entered into a securities purchase agreement with an affiliate of Icahn Enterprises L.P. (“IELP”) pursuant to which it issued and sold 25,862,070 shares of its common stock at a purchase price of $0.58 per share, resulting in aggregate cash proceeds of approximately $15,000 of which $13 was recorded within common stock and $14,987 was recorded within paid in capital. The share amount of 25,862,070 has been retroactively adjusted within the condensed consolidated statements of stockholders’ equity to reflect the exchange of Viskase Companies common stock for Viskase Holdings, Inc. common stock at an exchange ratio of 0.049118, resulting in 1,270,288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2026, we recorded an income tax expense of $1,053 on pre-tax loss of $(10,802) compared to an income tax expense of $12,941 on pre-tax loss of $(20,911) for the six months ended June 30, 2025. Our effective income tax rate was (9.7)% and (61.9)% for the six months ended June 30, 2026 and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effective tax rate was lower than the statutory federal rate of 21%, for corporations, primarily due to a valuation allowance against US deferred tax assets and the jurisdictional mix of earnings and operating losses expected for the year.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2025 the effective tax rate was higher than the statutory federal rate of 21%, for corporations, primarily due to the recognition of a valuation allowance against the US deferred tax asset of $11,475 plus the jurisdictional mix of earnings and operating losses expected for the year.</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 Related-Party Transactions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IELP owned approximately 93.7% and 92.8% of our outstanding common stock, respectively.</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Equity Private Placement of Common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January 2026, Viskase entered into a securities purchase agreement with AEP pursuant to which it issued and sold 25,862,070 shares of its common stock at a purchase price of $0.58 per share, resulting in aggregate cash proceeds of approximately $15,000. Prior to the completion of the Private Placement, IELP beneficially owned approximately 92.8% of the Company’s outstanding common stock. As a result of the Private Placements, IELP is the beneficial owner of approximately 93.7% of the Company’s outstanding common stock.</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Pension Liabilities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first quarter of 2020, Equity Private Placement, IELP purchase additional shares of common stock in a private placement and as a result became the beneficial owner of more than 80% of the shares of our common stock and the Company became subject to the pension liabilities of all entities in which Mr. Icahn has a direct or indirect ownership interest of at least 80%. One such entity, ACF Industries LLC (“ACF”), is the sponsor of several pension plans.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January 31, 2025, the Executive Committee of ACF approved a resolution to terminate its qualified pension plans, which are frozen and no longer accrues benefits. As of December 31, 2024, the fair value of this plan’s assets exceeded its benefit obligation. The termination of the plan is effective January 31, 2025, is subject to the appropriate regulatory approvals, and is expected to be completed in fiscal year 2026 or early 2027. The ACF LLC ultimate settlement obligation will depend upon both the nature and timing of participant settlements and prevailing market conditions.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in 2020, the Company entered into an agreement with Icahn Enterprises Holdings L.P. pursuant to which Icahn Enterprises Holdings L.P. has agreed to indemnify us and our subsidiaries from losses resulting from any imposition of certain pension funding or termination liabilities that may be imposed on us and our subsidiaries or our assets as a result of being a member of the Icahn controlled group.</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Based on the contingent nature of potential exposure related to these affiliate pension obligations and the indemnification from Icahn Enterprises Holdings L.P., no liability has been recorded in the accompanying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Tax Allocation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Following the private placement in 2020, IELP became the beneficial owner of more than 80% of the outstanding equity interests of Viskase Companies. Accordingly, Viskase Companies became a member of the consolidated group of IEP Corporate Subsidiary for U.S. federal income tax purposes. As a result, the IEP Corporate Subsidiary and Viskase Companies entered into a tax allocation agreement for the allocation of certain income tax items. Viskase Companies and its subsidiaries consented to join the IEP Corporate Subsidiary’s federal consolidated return and, if elected by the IEP Corporate Subsidiary, certain state consolidated returns. In those jurisdictions where Viskase Companies and its subsidiaries will file consolidated returns with the IEP Corporate Subsidiary, Viskase Companies will pay to the IEP Corporate Subsidiary any tax it would have owed had it and its subsidiaries continued to file as a separate consolidated group. To the extent that the IEP Corporate Subsidiary consolidated group is able to reduce its tax liability as a result of including Viskase Companies and its subsidiaries in its consolidated group, the IEP Corporate Subsidiary will pay Viskase Companies 20% of such reduction on a current basis and Viskase Companies will be treated as if it would carry forward for its own use under the tax allocation agreement, 80% of the items that caused the tax reduction (the “Excess Tax Benefits”). Moreover, if Viskase Companies and its subsidiaries should ever become deconsolidated from the IEP Corporate Subsidiary, the IEP Corporate Subsidiary will reimburse Viskase Companies for any tax liability in post-consolidation years that Viskase Companies and its subsidiaries would have avoided had they actually had the Excess Tax Benefits for their own consolidated group use. The cumulative payments to Viskase Companies by the IEP Corporate Subsidiary post-consolidation will not exceed the cumulative reductions in tax to the IEP Corporate Subsidiary group resulting from the use of the Excess Tax Benefits by the IEP Corporate Subsidiary group.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IELP has not entered into any tax allocation agreement with Viskase Holdings, Inc., the parent company of Viskase Companies.</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 Business Segment Information and Geographic Area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defines operating segments as components of the organization for which discrete financial information is available and operating results are evaluated regularly by the Company’s chief executive officer, who is the Chief Operating Decision Maker (“CODM”), in order to assess performance and allocate resources. Characteristics of the Company which were relied upon in making the determination of reportable segments include the geographic region in which the Company operates and the information that is regularly reviewed by the CODM for the purpose of assessing performance and allocating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operations are viewed in geographic regions of North America, South America, EMEA, and Asia which are the Company’s four reportable segments under ASC 280. The primary business of each of the geographic regions is manufacturing and selling cellulosic food casings. The Company’s casing products have similar characteristics and customers and share operations support functions such as sales, public relations, supply chain management, various research and development support, in addition to the general and administrative functions of human resources, legal, finance, and information technology.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Operating Income, which is defined as profit or loss from operations before interest income, interest expense, other expense, net and income taxes, to assess the profitability of each segment. The Company’s reporting package does not include interest revenue, interest expense or income taxes allocated to individual segments and these items are not considered components of segment operating income. The CODM monitors actual Operating Income results relative to operating plan and forecast to assess the performance of the business and allocate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Segment assets regularly reviewed by the CODM are inclusive only of inventory.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75" w:name="Tc__gG75SKs2Uqi5gdNKG46Yw_23_17"/>
      <w:bookmarkStart w:id="1276" w:name="Tc_tebRigG4fUe82ucgUJCTcQ_23_0"/>
      <w:bookmarkStart w:id="1277" w:name="Tc_8yIrqfOtaUKFzamRO9oUig_22_0"/>
      <w:bookmarkStart w:id="1278" w:name="Tc_Y0H0-46NYkKvLvju4J_kyQ_21_0"/>
      <w:bookmarkStart w:id="1279" w:name="Tc_igyXfAI6SkGW0iOujcTpmg_19_0"/>
      <w:bookmarkStart w:id="1280" w:name="Tc_L58n4Z622kyZ2bjbHbCjAg_18_15"/>
      <w:bookmarkStart w:id="1281" w:name="Tc_qTS9BPoO9Uu7sZw83Do9sg_18_12"/>
      <w:bookmarkStart w:id="1282" w:name="Tc_pFNl6_4ad0aEVW8otfNOUg_18_9"/>
      <w:bookmarkStart w:id="1283" w:name="Tc_sx_cBkLsTEOb-sOCU9ocKQ_18_0"/>
      <w:bookmarkStart w:id="1284" w:name="Tc_Pz-Rr5DYR0aJsM_IDW1Y8w_17_18"/>
      <w:bookmarkStart w:id="1285" w:name="Tc_CikaIggJyUqozHr-m-TyLA_17_15"/>
      <w:bookmarkStart w:id="1286" w:name="Tc_sBqekqo1F0aZg2hgDcgTpQ_17_12"/>
      <w:bookmarkStart w:id="1287" w:name="Tc_3rqaHCnFoUSR2OXt0CVRBg_17_9"/>
      <w:bookmarkStart w:id="1288" w:name="Tc_hGcG5BKeXkedHBe5xGJjGg_17_6"/>
      <w:bookmarkStart w:id="1289" w:name="Tc_S3Bh9dw61EifWL-_2MWmmg_17_3"/>
      <w:bookmarkStart w:id="1290" w:name="Tc_o8qE_hHwJUWR1lQ7OUcDog_17_0"/>
      <w:bookmarkStart w:id="1291" w:name="Tc_RqW_o7xXnEu1Smm7PjBadw_16_15"/>
      <w:bookmarkStart w:id="1292" w:name="Tc_aYOBymcEO06_PiMyqDx3Pw_16_12"/>
      <w:bookmarkStart w:id="1293" w:name="Tc_tFkifOP-ukObRY0cUgkjnw_16_6"/>
      <w:bookmarkStart w:id="1294" w:name="Tc_4I3Yo2qhmk-DdU3vstUJ9g_16_0"/>
      <w:bookmarkStart w:id="1295" w:name="Tc_Av8ie71naEOhRnBYZwXBGA_15_15"/>
      <w:bookmarkStart w:id="1296" w:name="Tc_AVkIxk33mk6a4CV1onUy7Q_15_0"/>
      <w:bookmarkStart w:id="1297" w:name="Tc_SyUbv_CoaUKnwH80KoDFAA_14_15"/>
      <w:bookmarkStart w:id="1298" w:name="Tc_qjNmzm2vDU2fgKXdLIppLQ_14_0"/>
      <w:bookmarkStart w:id="1299" w:name="Tc_bJnsLvyhi0W5E1kTNZ1tqA_13_15"/>
      <w:bookmarkStart w:id="1300" w:name="Tc_5VvK0YGimUGaYrW42IAOdg_13_0"/>
      <w:bookmarkStart w:id="1301" w:name="Tc_8vW6O1hcQECFJJcu3ujIqA_12_0"/>
      <w:bookmarkStart w:id="1302" w:name="Tc_A8quppz6dkKgRRGTOqlYJA_10_17"/>
      <w:bookmarkStart w:id="1303" w:name="Tc_8BQJg5qtq0GkxtD-M_f96A_10_0"/>
      <w:bookmarkStart w:id="1304" w:name="Tc_sM8Uj12N3kymW8fgoPde_w_9_0"/>
      <w:bookmarkStart w:id="1305" w:name="Tc_p5GPWjWhvkS5-9O8P0zi_w_8_0"/>
      <w:bookmarkStart w:id="1306" w:name="Tc_IuUvk3nbA0enhwg_50r69w_6_15"/>
      <w:bookmarkStart w:id="1307" w:name="Tc_cYOrrndhc0OIua4ttRvupQ_5_15"/>
      <w:bookmarkStart w:id="1308" w:name="Tc_pJNxLp0gXkaWlP03lM1Zcw_5_0"/>
      <w:bookmarkStart w:id="1309" w:name="Tc_6UAX7YNtSU63ThRRlgpYpw_4_17"/>
      <w:bookmarkStart w:id="1310" w:name="Tc_NNJDoB6cbkuthZVAFEQaIw_4_15"/>
      <w:bookmarkStart w:id="1311" w:name="Tc_52masUHZykiLn0MGOBm0Gw_4_14"/>
      <w:bookmarkStart w:id="1312" w:name="Tc_0dCeRXqd6kiNe3mTlWXuMw_4_11"/>
      <w:bookmarkStart w:id="1313" w:name="Tc_1TwVroiOU0OQ-mlULD6r_g_4_8"/>
      <w:bookmarkStart w:id="1314" w:name="Tc_AR4MPqdwZE-DuHBzWdOXvA_4_5"/>
      <w:bookmarkStart w:id="1315" w:name="Tc_4bwNx0c3UkORSgZFz1eCrw_4_2"/>
      <w:bookmarkStart w:id="1316" w:name="Tc_dMNgcqW37EqVq_5dt0bECg_4_0"/>
      <w:bookmarkStart w:id="1317" w:name="Tc_M9GlV-0T5kyhoGn6aH02dA_3_17"/>
      <w:bookmarkStart w:id="1318" w:name="Tc_TPJmQK12AEuRtHsF6jb3nw_3_14"/>
      <w:bookmarkStart w:id="1319" w:name="Tc_idL7CJVVX0SlJTFIfhjC4g_3_11"/>
      <w:bookmarkStart w:id="1320" w:name="Tc_pIsx26RrWkSfJU3ag6LCJA_3_8"/>
      <w:bookmarkStart w:id="1321" w:name="Tc_rWbCv3c6K0qLvqpnc5iDeA_3_5"/>
      <w:bookmarkStart w:id="1322" w:name="Tc_w6C_RoNVIkuvk3yqX3PV1A_3_2"/>
      <w:bookmarkStart w:id="1323" w:name="Tc_wlEku-UCRUKSm9rHCiLgmg_2_14"/>
      <w:bookmarkStart w:id="1324" w:name="Tc_QPJSKClIPUaUBgAYYCIKeA_2_5"/>
      <w:bookmarkStart w:id="1325" w:name="Tc_2XZQfF49Hki7ULH4-WnLdQ_2_2"/>
      <w:bookmarkStart w:id="1326" w:name="Tc_9V-GeK12rkmWED5DMVfdug_1_2"/>
      <w:bookmarkStart w:id="1327" w:name="_72b33736_ed7b_4a79_a0c3_21c8a3ed7e4c"/>
      <w:bookmarkStart w:id="1328" w:name="Tc_egsmu4Xz40ql0l9DTsIURQ_23_17"/>
      <w:bookmarkStart w:id="1329" w:name="Tc_AynDg8L5aEqEvpGXkIfYlA_23_0"/>
      <w:bookmarkStart w:id="1330" w:name="Tc_xZYGC-3GCUKCvR5ry2YY9Q_22_0"/>
      <w:bookmarkStart w:id="1331" w:name="Tc_YoRz0k2mmEmMR8eEeKYOYg_21_0"/>
      <w:bookmarkStart w:id="1332" w:name="Tc_tZy7m5jxgUac922eZeceaQ_19_0"/>
      <w:bookmarkStart w:id="1333" w:name="Tc_s4vrJ8asf0CQgdLfIznB2w_18_15"/>
      <w:bookmarkStart w:id="1334" w:name="Tc_qltXPgoVNUqtz_cml6inwg_18_12"/>
      <w:bookmarkStart w:id="1335" w:name="Tc_-MqXxaGuVEq9yzPTHyW4RA_18_9"/>
      <w:bookmarkStart w:id="1336" w:name="Tc_D0FI2wUG3kWWtscqFg1Z0A_18_6"/>
      <w:bookmarkStart w:id="1337" w:name="Tc_dy7GWmL-QE-8q9zdRGqsPQ_18_0"/>
      <w:bookmarkStart w:id="1338" w:name="Tc_7Cd2Wi3Rwkqo1qUcxhiOpg_17_15"/>
      <w:bookmarkStart w:id="1339" w:name="Tc_AJWquBgB_0GcDENpExySrg_17_12"/>
      <w:bookmarkStart w:id="1340" w:name="Tc_ch7A9Q-1T0GZsHsl_D_N1A_17_9"/>
      <w:bookmarkStart w:id="1341" w:name="Tc_jIpWHppyIUmWTYiSq1cEEg_17_6"/>
      <w:bookmarkStart w:id="1342" w:name="Tc_YWfZU88QSEGJ0HEje1JjpQ_17_0"/>
      <w:bookmarkStart w:id="1343" w:name="Tc_gk-IBofadEugc_4XS24__A_16_15"/>
      <w:bookmarkStart w:id="1344" w:name="Tc_RO0k-xmXw0ehmgEEwS-m-w_16_12"/>
      <w:bookmarkStart w:id="1345" w:name="Tc_kO5PkjPXQUagl0UfM9GfHw_16_0"/>
      <w:bookmarkStart w:id="1346" w:name="Tc_D7DxfBLUg0q1CcRqTj06lA_15_15"/>
      <w:bookmarkStart w:id="1347" w:name="Tc_YWey2dD7EUKe7d285O3Uug_15_0"/>
      <w:bookmarkStart w:id="1348" w:name="Tc_a6hufQ11zU-_qgaOjCZNmQ_14_15"/>
      <w:bookmarkStart w:id="1349" w:name="Tc__5a5yN4HrEe0dIxxRBQIYg_14_0"/>
      <w:bookmarkStart w:id="1350" w:name="Tc_PbPtPohr9E20j2DUAjzhUQ_13_15"/>
      <w:bookmarkStart w:id="1351" w:name="Tc_550KDsrYT0-W0ssDcxtIFw_13_0"/>
      <w:bookmarkStart w:id="1352" w:name="Tc_ioVVYKFiW0mgXSRptTop_A_12_0"/>
      <w:bookmarkStart w:id="1353" w:name="Tc_ZZleQ7ia_USp22TBHtdNzg_10_17"/>
      <w:bookmarkStart w:id="1354" w:name="Tc_LFepiNo-0UKDaU9NGuelgA_10_0"/>
      <w:bookmarkStart w:id="1355" w:name="Tc_xBg01CYbDUujZAQmd-YkHw_9_0"/>
      <w:bookmarkStart w:id="1356" w:name="Tc_VY6llfyQEkGTFxXh51BLKA_8_0"/>
      <w:bookmarkStart w:id="1357" w:name="Tc_el0redGJgkScn1w7ASpp4A_6_15"/>
      <w:bookmarkStart w:id="1358" w:name="Tc_kU80DODdpEmjT_lPWNegBg_5_15"/>
      <w:bookmarkStart w:id="1359" w:name="Tc_w2XfEhVkQ0yssKyJ0U_QQw_5_12"/>
      <w:bookmarkStart w:id="1360" w:name="Tc_WhNQFtHXz06QtJJFyvCziQ_5_6"/>
      <w:bookmarkStart w:id="1361" w:name="Tc_w_muzgtdRkmluTBFB3GAMw_5_0"/>
      <w:bookmarkStart w:id="1362" w:name="Tc_ADDPj2qCZk-66cb4NJldPQ_4_17"/>
      <w:bookmarkStart w:id="1363" w:name="Tc_L2Je-AeJfUC49l2hWwjCNQ_4_15"/>
      <w:bookmarkStart w:id="1364" w:name="Tc_UR0vG8D4Yk6wD8c8RL258Q_4_14"/>
      <w:bookmarkStart w:id="1365" w:name="Tc_-EJWnPgi6UGu0NFkgZe1cg_4_11"/>
      <w:bookmarkStart w:id="1366" w:name="Tc_Jcklve1AWEOtGxrY1wbRuA_4_8"/>
      <w:bookmarkStart w:id="1367" w:name="Tc_2D3c0t_kJU262bMVMl1Qpw_4_5"/>
      <w:bookmarkStart w:id="1368" w:name="Tc_lEt0Qvin5ES31arfMElBSw_4_2"/>
      <w:bookmarkStart w:id="1369" w:name="Tc_AAge_7gy6k2uG2vJfmzmEw_4_0"/>
      <w:bookmarkStart w:id="1370" w:name="Tc_yKrDTdLcuUWtJxYagfOAGw_3_17"/>
      <w:bookmarkStart w:id="1371" w:name="Tc_0-VPe16VekObwk4Oj7CAbw_3_14"/>
      <w:bookmarkStart w:id="1372" w:name="Tc_7wXg9J8gVES_RF7CqRkOFQ_3_11"/>
      <w:bookmarkStart w:id="1373" w:name="Tc_UOcNJp1wCkanOxjbQ6KjBw_3_8"/>
      <w:bookmarkStart w:id="1374" w:name="Tc_TCnNsZTp00GMh-7BiIzzlg_3_5"/>
      <w:bookmarkStart w:id="1375" w:name="Tc_2Qt6iJNk2EOVOvqcw82r6Q_3_2"/>
      <w:bookmarkStart w:id="1376" w:name="Tc_6Ikz7Zla9k-Mdn7ufX_OFA_2_14"/>
      <w:bookmarkStart w:id="1377" w:name="Tc_o14r2E0tj0qXx9BHiqoj-w_2_5"/>
      <w:bookmarkStart w:id="1378" w:name="Tc_ANqdUhMH2U-qY4K6M0foww_2_2"/>
      <w:bookmarkStart w:id="1379" w:name="Tc_ez-sY6kScUepxRmZdErKqw_1_2"/>
      <w:bookmarkStart w:id="1380" w:name="_28021fbe_96a4_475e_8489_bd5e0f63e947"/>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sz w:val="20"/>
        </w:rPr>
        <w:t>The following table reflects the results of the Company’s segments:</w:t>
      </w:r>
    </w:p>
    <w:tbl>
      <w:tblPr>
        <w:tblW w:w="10205" w:type="dxa"/>
        <w:jc w:val="left"/>
        <w:tblInd w:w="0" w:type="dxa"/>
        <w:tblLayout w:type="fixed"/>
        <w:tblCellMar>
          <w:top w:w="0" w:type="dxa"/>
          <w:left w:w="0" w:type="dxa"/>
          <w:bottom w:w="0" w:type="dxa"/>
          <w:right w:w="0" w:type="dxa"/>
        </w:tblCellMar>
      </w:tblPr>
      <w:tblGrid>
        <w:gridCol w:w="2695"/>
        <w:gridCol w:w="346"/>
        <w:gridCol w:w="211"/>
        <w:gridCol w:w="772"/>
        <w:gridCol w:w="346"/>
        <w:gridCol w:w="211"/>
        <w:gridCol w:w="772"/>
        <w:gridCol w:w="109"/>
        <w:gridCol w:w="211"/>
        <w:gridCol w:w="772"/>
        <w:gridCol w:w="346"/>
        <w:gridCol w:w="211"/>
        <w:gridCol w:w="667"/>
        <w:gridCol w:w="346"/>
        <w:gridCol w:w="211"/>
        <w:gridCol w:w="772"/>
        <w:gridCol w:w="109"/>
        <w:gridCol w:w="223"/>
        <w:gridCol w:w="875"/>
      </w:tblGrid>
      <w:tr>
        <w:trPr/>
        <w:tc>
          <w:tcPr>
            <w:tcW w:w="2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11325" cy="175260"/>
                      <wp:effectExtent l="0" t="0" r="0" b="0"/>
                      <wp:wrapNone/>
                      <wp:docPr id="190" name="Frame190"/>
                      <a:graphic xmlns:a="http://schemas.openxmlformats.org/drawingml/2006/main">
                        <a:graphicData uri="http://schemas.microsoft.com/office/word/2010/wordprocessingShape">
                          <wps:wsp>
                            <wps:cNvSpPr txBox="1"/>
                            <wps:spPr>
                              <a:xfrm>
                                <a:off x="0" y="0"/>
                                <a:ext cx="171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0220" cy="175260"/>
                      <wp:effectExtent l="0" t="0" r="0" b="0"/>
                      <wp:wrapNone/>
                      <wp:docPr id="193" name="Frame193"/>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0220" cy="175260"/>
                      <wp:effectExtent l="0" t="0" r="0" b="0"/>
                      <wp:wrapNone/>
                      <wp:docPr id="196" name="Frame19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0220" cy="175260"/>
                      <wp:effectExtent l="0" t="0" r="0" b="0"/>
                      <wp:wrapNone/>
                      <wp:docPr id="199" name="Frame199"/>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3545" cy="175260"/>
                      <wp:effectExtent l="0" t="0" r="0" b="0"/>
                      <wp:wrapNone/>
                      <wp:docPr id="202" name="Frame202"/>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0220" cy="175260"/>
                      <wp:effectExtent l="0" t="0" r="0" b="0"/>
                      <wp:wrapNone/>
                      <wp:docPr id="205" name="Frame205"/>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1605" cy="175260"/>
                      <wp:effectExtent l="0" t="0" r="0" b="0"/>
                      <wp:wrapNone/>
                      <wp:docPr id="207" name="Frame20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55625" cy="175260"/>
                      <wp:effectExtent l="0" t="0" r="0" b="0"/>
                      <wp:wrapNone/>
                      <wp:docPr id="208" name="Frame208"/>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16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North</w:t>
            </w:r>
          </w:p>
        </w:tc>
        <w:tc>
          <w:tcPr>
            <w:tcW w:w="346" w:type="dxa"/>
            <w:tcBorders/>
            <w:vAlign w:val="center"/>
          </w:tcPr>
          <w:p>
            <w:pPr>
              <w:pStyle w:val="TableContents"/>
              <w:bidi w:val="0"/>
              <w:spacing w:before="0" w:after="0"/>
              <w:ind w:left="0" w:right="0" w:hanging="0"/>
              <w:jc w:val="left"/>
              <w:rPr/>
            </w:pPr>
            <w:r>
              <w:rPr/>
              <w:t>  ​ ​ ​</w:t>
            </w:r>
          </w:p>
        </w:tc>
        <w:tc>
          <w:tcPr>
            <w:tcW w:w="98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w:t>
            </w:r>
          </w:p>
        </w:tc>
        <w:tc>
          <w:tcPr>
            <w:tcW w:w="109" w:type="dxa"/>
            <w:tcBorders/>
            <w:vAlign w:val="center"/>
          </w:tcPr>
          <w:p>
            <w:pPr>
              <w:pStyle w:val="TableContents"/>
              <w:bidi w:val="0"/>
              <w:spacing w:before="0" w:after="0"/>
              <w:ind w:left="0" w:right="0" w:hanging="0"/>
              <w:jc w:val="left"/>
              <w:rPr/>
            </w:pPr>
            <w:r>
              <w:rPr/>
              <w:t>​</w:t>
            </w:r>
          </w:p>
        </w:tc>
        <w:tc>
          <w:tcPr>
            <w:tcW w:w="98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8"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8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r>
      <w:tr>
        <w:trPr/>
        <w:tc>
          <w:tcPr>
            <w:tcW w:w="2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w:t>
            </w:r>
          </w:p>
        </w:tc>
        <w:tc>
          <w:tcPr>
            <w:tcW w:w="346" w:type="dxa"/>
            <w:tcBorders/>
            <w:vAlign w:val="center"/>
          </w:tcPr>
          <w:p>
            <w:pPr>
              <w:pStyle w:val="TableContents"/>
              <w:bidi w:val="0"/>
              <w:spacing w:before="0" w:after="0"/>
              <w:ind w:left="0" w:right="0" w:hanging="0"/>
              <w:jc w:val="left"/>
              <w:rPr/>
            </w:pPr>
            <w:r>
              <w:rPr/>
              <w:t>​</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w:t>
            </w:r>
          </w:p>
        </w:tc>
        <w:tc>
          <w:tcPr>
            <w:tcW w:w="109" w:type="dxa"/>
            <w:tcBorders/>
            <w:vAlign w:val="center"/>
          </w:tcPr>
          <w:p>
            <w:pPr>
              <w:pStyle w:val="TableContents"/>
              <w:bidi w:val="0"/>
              <w:spacing w:before="0" w:after="0"/>
              <w:ind w:left="0" w:right="0" w:hanging="0"/>
              <w:jc w:val="left"/>
              <w:rPr/>
            </w:pPr>
            <w:r>
              <w:rPr/>
              <w:t>​</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46" w:type="dxa"/>
            <w:tcBorders/>
            <w:vAlign w:val="center"/>
          </w:tcPr>
          <w:p>
            <w:pPr>
              <w:pStyle w:val="TableContents"/>
              <w:bidi w:val="0"/>
              <w:spacing w:before="0" w:after="0"/>
              <w:ind w:left="0" w:right="0" w:hanging="0"/>
              <w:jc w:val="left"/>
              <w:rPr/>
            </w:pPr>
            <w:r>
              <w:rPr/>
              <w:t>​</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46" w:type="dxa"/>
            <w:tcBorders/>
            <w:vAlign w:val="center"/>
          </w:tcPr>
          <w:p>
            <w:pPr>
              <w:pStyle w:val="TableContents"/>
              <w:bidi w:val="0"/>
              <w:spacing w:before="0" w:after="0"/>
              <w:ind w:left="0" w:right="0" w:hanging="0"/>
              <w:jc w:val="left"/>
              <w:rPr/>
            </w:pPr>
            <w:r>
              <w:rPr/>
              <w:t>​</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90,131</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20,847</w:t>
            </w:r>
          </w:p>
        </w:tc>
      </w:tr>
      <w:tr>
        <w:trPr/>
        <w:tc>
          <w:tcPr>
            <w:tcW w:w="269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110,978</w:t>
            </w:r>
          </w:p>
        </w:tc>
      </w:tr>
      <w:tr>
        <w:trPr/>
        <w:tc>
          <w:tcPr>
            <w:tcW w:w="2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pPr>
            <w:r>
              <w:rPr/>
              <w:t>  ​</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 of intersegment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(20,847)</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(20,847)</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90,131</w:t>
            </w:r>
          </w:p>
        </w:tc>
      </w:tr>
      <w:tr>
        <w:trPr/>
        <w:tc>
          <w:tcPr>
            <w:tcW w:w="2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left"/>
              <w:rPr/>
            </w:pPr>
            <w:r>
              <w:rPr/>
              <w:t>​</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20,851</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(79,033)</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(9,022)</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charge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 and related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r>
      <w:tr>
        <w:trPr/>
        <w:tc>
          <w:tcPr>
            <w:tcW w:w="269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r>
      <w:tr>
        <w:trPr/>
        <w:tc>
          <w:tcPr>
            <w:tcW w:w="2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84"/>
        <w:gridCol w:w="346"/>
        <w:gridCol w:w="211"/>
        <w:gridCol w:w="758"/>
        <w:gridCol w:w="346"/>
        <w:gridCol w:w="211"/>
        <w:gridCol w:w="758"/>
        <w:gridCol w:w="346"/>
        <w:gridCol w:w="211"/>
        <w:gridCol w:w="758"/>
        <w:gridCol w:w="346"/>
        <w:gridCol w:w="211"/>
        <w:gridCol w:w="758"/>
        <w:gridCol w:w="346"/>
        <w:gridCol w:w="211"/>
        <w:gridCol w:w="758"/>
        <w:gridCol w:w="346"/>
        <w:gridCol w:w="223"/>
        <w:gridCol w:w="877"/>
      </w:tblGrid>
      <w:tr>
        <w:trPr/>
        <w:tc>
          <w:tcPr>
            <w:tcW w:w="2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86840" cy="175260"/>
                      <wp:effectExtent l="0" t="0" r="0" b="0"/>
                      <wp:wrapNone/>
                      <wp:docPr id="209" name="Frame209"/>
                      <a:graphic xmlns:a="http://schemas.openxmlformats.org/drawingml/2006/main">
                        <a:graphicData uri="http://schemas.microsoft.com/office/word/2010/wordprocessingShape">
                          <wps:wsp>
                            <wps:cNvSpPr txBox="1"/>
                            <wps:spPr>
                              <a:xfrm>
                                <a:off x="0" y="0"/>
                                <a:ext cx="138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81330" cy="175260"/>
                      <wp:effectExtent l="0" t="0" r="0" b="0"/>
                      <wp:wrapNone/>
                      <wp:docPr id="212" name="Frame212"/>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81330" cy="175260"/>
                      <wp:effectExtent l="0" t="0" r="0" b="0"/>
                      <wp:wrapNone/>
                      <wp:docPr id="215" name="Frame215"/>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81330" cy="175260"/>
                      <wp:effectExtent l="0" t="0" r="0" b="0"/>
                      <wp:wrapNone/>
                      <wp:docPr id="218" name="Frame218"/>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81330" cy="175260"/>
                      <wp:effectExtent l="0" t="0" r="0" b="0"/>
                      <wp:wrapNone/>
                      <wp:docPr id="221" name="Frame221"/>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81330" cy="175260"/>
                      <wp:effectExtent l="0" t="0" r="0" b="0"/>
                      <wp:wrapNone/>
                      <wp:docPr id="224" name="Frame224"/>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1605" cy="175260"/>
                      <wp:effectExtent l="0" t="0" r="0" b="0"/>
                      <wp:wrapNone/>
                      <wp:docPr id="226" name="Frame22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56895" cy="175260"/>
                      <wp:effectExtent l="0" t="0" r="0" b="0"/>
                      <wp:wrapNone/>
                      <wp:docPr id="227" name="Frame227"/>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7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North </w:t>
            </w:r>
          </w:p>
        </w:tc>
        <w:tc>
          <w:tcPr>
            <w:tcW w:w="346" w:type="dxa"/>
            <w:tcBorders/>
            <w:vAlign w:val="center"/>
          </w:tcPr>
          <w:p>
            <w:pPr>
              <w:pStyle w:val="TableContents"/>
              <w:bidi w:val="0"/>
              <w:spacing w:before="0" w:after="0"/>
              <w:ind w:left="0" w:right="0" w:hanging="0"/>
              <w:jc w:val="center"/>
              <w:rPr/>
            </w:pPr>
            <w:r>
              <w:rPr/>
              <w:t>​</w:t>
            </w:r>
          </w:p>
        </w:tc>
        <w:tc>
          <w:tcPr>
            <w:tcW w:w="9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South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Elimination </w:t>
            </w:r>
          </w:p>
        </w:tc>
        <w:tc>
          <w:tcPr>
            <w:tcW w:w="34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r>
      <w:tr>
        <w:trPr/>
        <w:tc>
          <w:tcPr>
            <w:tcW w:w="2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0" w:after="0"/>
              <w:ind w:left="0" w:right="0" w:hanging="0"/>
              <w:jc w:val="left"/>
              <w:rPr/>
            </w:pPr>
            <w:r>
              <w:rP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external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97,279</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17,838</w:t>
            </w:r>
          </w:p>
        </w:tc>
      </w:tr>
      <w:tr>
        <w:trPr/>
        <w:tc>
          <w:tcPr>
            <w:tcW w:w="21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115,117</w:t>
            </w:r>
          </w:p>
        </w:tc>
      </w:tr>
      <w:tr>
        <w:trPr/>
        <w:tc>
          <w:tcPr>
            <w:tcW w:w="2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  ​</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 of intersegment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(17,838)</w:t>
            </w:r>
          </w:p>
        </w:tc>
        <w:tc>
          <w:tcPr>
            <w:tcW w:w="346" w:type="dxa"/>
            <w:tcBorders/>
            <w:vAlign w:val="center"/>
          </w:tcPr>
          <w:p>
            <w:pPr>
              <w:pStyle w:val="TableContents"/>
              <w:bidi w:val="0"/>
              <w:spacing w:before="0" w:after="0"/>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(17,838)</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97,279</w:t>
            </w:r>
          </w:p>
        </w:tc>
      </w:tr>
      <w:tr>
        <w:trPr/>
        <w:tc>
          <w:tcPr>
            <w:tcW w:w="2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17,849</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(85,645)</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(9,976)</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charge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 and related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21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w:t>
            </w:r>
          </w:p>
        </w:tc>
      </w:tr>
      <w:tr>
        <w:trPr/>
        <w:tc>
          <w:tcPr>
            <w:tcW w:w="2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2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81" w:name="Tc_koqK5pqVg0Cr66ArUUA4_Q_6_5"/>
      <w:bookmarkStart w:id="1382" w:name="Tc_f9kl87z0Ok-J0pzlAzlvew_6_2"/>
      <w:bookmarkStart w:id="1383" w:name="Tc_j6R9GC4Hr0WSRhrZEOivBg_6_0"/>
      <w:bookmarkStart w:id="1384" w:name="Tc_z4qzh7eDSEe41OnLi5PiMg_5_0"/>
      <w:bookmarkStart w:id="1385" w:name="Tc_m3evdbnXzk-8Rda2r9HwNw_4_0"/>
      <w:bookmarkStart w:id="1386" w:name="Tc_Ut0yI0yGqkKFnkXuUO_pgw_3_0"/>
      <w:bookmarkStart w:id="1387" w:name="Tc_t4IqJ2mZKEKgGpDSx_lopQ_2_5"/>
      <w:bookmarkStart w:id="1388" w:name="Tc_5S7KLLo2q0GY8HpoFOzn0w_2_2"/>
      <w:bookmarkStart w:id="1389" w:name="Tc_4_TiX-izxUqWFXTgmUv7KQ_2_0"/>
      <w:bookmarkStart w:id="1390" w:name="Tc_-ed1qqf780OXRJzGWxJiPg_1_5"/>
      <w:bookmarkStart w:id="1391" w:name="Tc_FvJN09KGrEidg180bnwQjA_1_2"/>
      <w:bookmarkStart w:id="1392" w:name="_97cf4c98_edfe_4134_bace_4c92a107b67a"/>
      <w:bookmarkStart w:id="1393" w:name="Tc_KFxRocxymUabIo-z7hc5Hw_23_17"/>
      <w:bookmarkStart w:id="1394" w:name="Tc_f7vGXf58nkCh-oQ1wzPJSA_23_0"/>
      <w:bookmarkStart w:id="1395" w:name="Tc_aWSv_cmeEk6_seKX0NTAXA_22_0"/>
      <w:bookmarkStart w:id="1396" w:name="Tc_wOmKFlkTkk-FDehGIo6H8g_21_0"/>
      <w:bookmarkStart w:id="1397" w:name="Tc_NgC-L9qJHEmVeVuFIil5aQ_19_0"/>
      <w:bookmarkStart w:id="1398" w:name="Tc_URK7f4B_BkmVbMt0fVq7ow_18_15"/>
      <w:bookmarkStart w:id="1399" w:name="Tc_qpccBTkaxU-t7ozriopuGw_18_12"/>
      <w:bookmarkStart w:id="1400" w:name="Tc_3h5Wr3Lxd02K0EGBq6Vcsw_18_9"/>
      <w:bookmarkStart w:id="1401" w:name="Tc_GGDfzI-lrk-0wERpaOmt3g_18_6"/>
      <w:bookmarkStart w:id="1402" w:name="Tc_dA1ObTMLsEeGjwyNN3bQwQ_18_0"/>
      <w:bookmarkStart w:id="1403" w:name="Tc_MM9HSCZsZ0G5zhsrKm8lcA_17_15"/>
      <w:bookmarkStart w:id="1404" w:name="Tc_pQ6SKAVWGE2AbQzcttaf3Q_17_12"/>
      <w:bookmarkStart w:id="1405" w:name="Tc_VBW5M_3ZQUy45MGDGCtC8w_17_9"/>
      <w:bookmarkStart w:id="1406" w:name="Tc_JmYzjIol802yNQZMnDrhXA_17_6"/>
      <w:bookmarkStart w:id="1407" w:name="Tc_d5XWMbsFR0qlpN-t8Z_LxQ_17_0"/>
      <w:bookmarkStart w:id="1408" w:name="Tc_VUjsE2-vS0uBk9p9sz822Q_16_15"/>
      <w:bookmarkStart w:id="1409" w:name="Tc_ZZpyQcapnE20bWAGd8aifg_16_12"/>
      <w:bookmarkStart w:id="1410" w:name="Tc_NfxvvNhH_0CHSbPQ5EuF6w_16_6"/>
      <w:bookmarkStart w:id="1411" w:name="Tc_fd_hDRLPp0OyoyMP15lg2g_16_0"/>
      <w:bookmarkStart w:id="1412" w:name="Tc_10hIjp2weEuoU781uAPWVA_15_15"/>
      <w:bookmarkStart w:id="1413" w:name="Tc_sJWqFL2dL0aD8xVQTFAU6A_15_0"/>
      <w:bookmarkStart w:id="1414" w:name="Tc_2LJSVQ_k8UWMfIqmpvqG1w_14_15"/>
      <w:bookmarkStart w:id="1415" w:name="Tc_eAzqeIe6K0eDrmSOuHegwg_14_0"/>
      <w:bookmarkStart w:id="1416" w:name="Tc_6AQK9Bc710yT0vTDcUjorQ_13_15"/>
      <w:bookmarkStart w:id="1417" w:name="Tc_OdELRVyGXUy14dzRZEuCtg_13_0"/>
      <w:bookmarkStart w:id="1418" w:name="Tc_VMjHYl4vpkWA_tieyQ-Lfw_12_0"/>
      <w:bookmarkStart w:id="1419" w:name="Tc_FvOOCIZDMketzpWVREw5EQ_10_17"/>
      <w:bookmarkStart w:id="1420" w:name="Tc_qhdz35aH2EWPv3BucqdIYA_10_0"/>
      <w:bookmarkStart w:id="1421" w:name="Tc_eNQt8ahA9US4iVG8p_nACw_9_0"/>
      <w:bookmarkStart w:id="1422" w:name="Tc_gh7kc3mjyUqPBUpL_Qsgrg_8_0"/>
      <w:bookmarkStart w:id="1423" w:name="Tc_8HYtAZcYKUC8VeQacpNRVw_6_15"/>
      <w:bookmarkStart w:id="1424" w:name="Tc_DPMY3vTNKEC_U_6BnM2TFA_5_15"/>
      <w:bookmarkStart w:id="1425" w:name="Tc_Hx7KqiPt9kWQSNJlnzBOeg_5_0"/>
      <w:bookmarkStart w:id="1426" w:name="Tc_sl1N4_wSo0Cqznc7SWyEuQ_4_17"/>
      <w:bookmarkStart w:id="1427" w:name="Tc_u3YtAr5fFka1FhcP_yWZLg_4_15"/>
      <w:bookmarkStart w:id="1428" w:name="Tc_3c0nT0q9A0K25u-IiOoK8A_4_14"/>
      <w:bookmarkStart w:id="1429" w:name="Tc_FIGcT9T4rUSv6l2m9YWsFw_4_11"/>
      <w:bookmarkStart w:id="1430" w:name="Tc_r3b7irfyMkSwmDxDySoI1A_4_8"/>
      <w:bookmarkStart w:id="1431" w:name="Tc_tY2qG4Qb6UChEgv6N0IqoQ_4_5"/>
      <w:bookmarkStart w:id="1432" w:name="Tc_CutOpMne7kWSw5MpWEl3HQ_4_2"/>
      <w:bookmarkStart w:id="1433" w:name="Tc_YhwvcOKufE2Aw_SDPmrzMg_4_0"/>
      <w:bookmarkStart w:id="1434" w:name="Tc_yz_fmajHnUi7zEeS3s1ZFQ_3_17"/>
      <w:bookmarkStart w:id="1435" w:name="Tc_3oNdGszf9UqpI5O6Q_q3mQ_3_14"/>
      <w:bookmarkStart w:id="1436" w:name="Tc_-H4xkFfhHkynvrG87vUFbg_3_11"/>
      <w:bookmarkStart w:id="1437" w:name="Tc_PKWfTPR0WUO7UOW7H3bRdg_3_8"/>
      <w:bookmarkStart w:id="1438" w:name="Tc_n5lMcAHkk0e0uxTkVKy-ZQ_3_5"/>
      <w:bookmarkStart w:id="1439" w:name="Tc__8H8PeS3tUi-hslAgaNI6A_3_2"/>
      <w:bookmarkStart w:id="1440" w:name="Tc_usA4RwfxK0abjY75VH8WjA_2_14"/>
      <w:bookmarkStart w:id="1441" w:name="Tc_uAAr9j2D80qjXwNtoaFFkA_1_2"/>
      <w:bookmarkStart w:id="1442" w:name="_fb4b4c32_5d1e_468b_944a_f56bda563e4b"/>
      <w:bookmarkStart w:id="1443" w:name="Tc_MgYYq5tBekOcYBlNuAja3g_22_17"/>
      <w:bookmarkStart w:id="1444" w:name="Tc_oF0C1cJKW0-IEorsv2b-bg_22_0"/>
      <w:bookmarkStart w:id="1445" w:name="Tc_o7nNNsP_iUSHtlpFSeDsAw_21_0"/>
      <w:bookmarkStart w:id="1446" w:name="Tc_nl2xLb95UkGSGyzcKW-1mg_20_0"/>
      <w:bookmarkStart w:id="1447" w:name="Tc_V1ahMfhPPkWsqi5zIxO9Zw_18_15"/>
      <w:bookmarkStart w:id="1448" w:name="Tc_QcGVA1qtj0uTMwvv-GS4DQ_18_0"/>
      <w:bookmarkStart w:id="1449" w:name="Tc_CCeyhJL73Eab6aerACCLsg_17_15"/>
      <w:bookmarkStart w:id="1450" w:name="Tc_co92GyGauk-ZUywmce4mrQ_17_12"/>
      <w:bookmarkStart w:id="1451" w:name="Tc_xYgLgw84WUGiaWQbt42ugA_17_9"/>
      <w:bookmarkStart w:id="1452" w:name="Tc_lutflD3ULE2QPjVt_q2kIA_17_6"/>
      <w:bookmarkStart w:id="1453" w:name="Tc_Ldj7YNjHYE2gRE-Gs2AYhg_17_0"/>
      <w:bookmarkStart w:id="1454" w:name="Tc_O7IlPDGTiEmc4lR_g1XJ1w_16_15"/>
      <w:bookmarkStart w:id="1455" w:name="Tc_OPMPGiiDDUiwoeDGLFUp4A_16_12"/>
      <w:bookmarkStart w:id="1456" w:name="Tc_GEDkZosjKk2Tq3iYE2SNAQ_16_9"/>
      <w:bookmarkStart w:id="1457" w:name="Tc_WI9b7IQMCE62rJjuNtSPeQ_16_6"/>
      <w:bookmarkStart w:id="1458" w:name="Tc_GlQlCCzAak6a_7jfOlWFcg_16_0"/>
      <w:bookmarkStart w:id="1459" w:name="Tc_Z-blHAOiDUSrRU30X1oBkA_15_15"/>
      <w:bookmarkStart w:id="1460" w:name="Tc_4zN6pJf7-Eq_VOph7xWMOg_15_12"/>
      <w:bookmarkStart w:id="1461" w:name="Tc_ZAIS86SXRUK1FYxeuw-xSQ_15_0"/>
      <w:bookmarkStart w:id="1462" w:name="Tc_RcRDWsd8C0ax5fvR7rEK9Q_14_15"/>
      <w:bookmarkStart w:id="1463" w:name="Tc_kQz8UFmJBEGYbgRlQYUiEw_14_0"/>
      <w:bookmarkStart w:id="1464" w:name="Tc_njAQ0_SwOUGxeCBjsnzx5Q_13_15"/>
      <w:bookmarkStart w:id="1465" w:name="Tc_dPc0DEec_EadwqTnBDYgLA_13_0"/>
      <w:bookmarkStart w:id="1466" w:name="Tc_dPCVARkjdU-9b80pt-VcXw_12_15"/>
      <w:bookmarkStart w:id="1467" w:name="Tc_AsuuWwdD1U2kmY0QrmCP7A_12_0"/>
      <w:bookmarkStart w:id="1468" w:name="Tc_uVeFpwNeLUaZdGcWqS_Ivw_11_0"/>
      <w:bookmarkStart w:id="1469" w:name="Tc_f_pA2P4MokiqI5tzch1OaQ_9_17"/>
      <w:bookmarkStart w:id="1470" w:name="Tc_S84_aozxTEyGN3FPNCm33w_9_0"/>
      <w:bookmarkStart w:id="1471" w:name="Tc_sOtZz8YRR0aiBgcIZOgNOA_8_0"/>
      <w:bookmarkStart w:id="1472" w:name="Tc_6iL1eOR2h06kn39FhJFbgg_7_0"/>
      <w:bookmarkStart w:id="1473" w:name="Tc_MAET40H660iZOHkb95lIBA_5_15"/>
      <w:bookmarkStart w:id="1474" w:name="Tc_5gv8gkV_4kSdHRh7Mw64tg_4_15"/>
      <w:bookmarkStart w:id="1475" w:name="Tc_ttRoncrQ0k-p8JzNkua7Fw_4_6"/>
      <w:bookmarkStart w:id="1476" w:name="Tc_aivTpftLa0GbeHBF53s5gQ_4_0"/>
      <w:bookmarkStart w:id="1477" w:name="Tc_khCq-banEEugKoo_tbuM_w_3_17"/>
      <w:bookmarkStart w:id="1478" w:name="Tc_NlegmIfZG0aKB412BZjeeg_3_15"/>
      <w:bookmarkStart w:id="1479" w:name="Tc_tokZq_I1hkytnhzO6LaWKg_3_14"/>
      <w:bookmarkStart w:id="1480" w:name="Tc_w9DgfbJJ1EGNHs74X1nrgQ_3_11"/>
      <w:bookmarkStart w:id="1481" w:name="Tc_QWb9h7bbGUGD63GUKBnOng_3_8"/>
      <w:bookmarkStart w:id="1482" w:name="Tc_8kp8nituCEOKxyL7vEL53g_3_5"/>
      <w:bookmarkStart w:id="1483" w:name="Tc_bRBC6ALNiE-9XXZqSiuFDA_3_2"/>
      <w:bookmarkStart w:id="1484" w:name="Tc_g09-UonSWkuWDnTv8erDnA_3_0"/>
      <w:bookmarkStart w:id="1485" w:name="Tc_S6tzOwSwXEiODKQYAlyNRw_2_17"/>
      <w:bookmarkStart w:id="1486" w:name="Tc_mnGZz1cOzEaXHzzi9NXw7g_2_14"/>
      <w:bookmarkStart w:id="1487" w:name="Tc_9xb5W7jOr0mREKMqkuldAw_2_11"/>
      <w:bookmarkStart w:id="1488" w:name="Tc_7I-vcH1C90iDqOL14QaTsA_2_8"/>
      <w:bookmarkStart w:id="1489" w:name="Tc_coZ4kLi8LkWSDiJYlkSx2A_2_5"/>
      <w:bookmarkStart w:id="1490" w:name="Tc_pehuo2QgWESGPIft0CVD6A_2_2"/>
      <w:bookmarkStart w:id="1491" w:name="Tc_lxesd6pDTEKMKPVQctdMjg_1_2"/>
      <w:bookmarkStart w:id="1492" w:name="_7da3f6db_db4d_47c6_88b7_34dc5ecb9b8e"/>
      <w:bookmarkStart w:id="1493" w:name="Tc_koqK5pqVg0Cr66ArUUA4_Q_6_5"/>
      <w:bookmarkStart w:id="1494" w:name="Tc_f9kl87z0Ok-J0pzlAzlvew_6_2"/>
      <w:bookmarkStart w:id="1495" w:name="Tc_j6R9GC4Hr0WSRhrZEOivBg_6_0"/>
      <w:bookmarkStart w:id="1496" w:name="Tc_z4qzh7eDSEe41OnLi5PiMg_5_0"/>
      <w:bookmarkStart w:id="1497" w:name="Tc_m3evdbnXzk-8Rda2r9HwNw_4_0"/>
      <w:bookmarkStart w:id="1498" w:name="Tc_Ut0yI0yGqkKFnkXuUO_pgw_3_0"/>
      <w:bookmarkStart w:id="1499" w:name="Tc_t4IqJ2mZKEKgGpDSx_lopQ_2_5"/>
      <w:bookmarkStart w:id="1500" w:name="Tc_5S7KLLo2q0GY8HpoFOzn0w_2_2"/>
      <w:bookmarkStart w:id="1501" w:name="Tc_4_TiX-izxUqWFXTgmUv7KQ_2_0"/>
      <w:bookmarkStart w:id="1502" w:name="Tc_-ed1qqf780OXRJzGWxJiPg_1_5"/>
      <w:bookmarkStart w:id="1503" w:name="Tc_FvJN09KGrEidg180bnwQjA_1_2"/>
      <w:bookmarkStart w:id="1504" w:name="_97cf4c98_edfe_4134_bace_4c92a107b67a"/>
      <w:bookmarkStart w:id="1505" w:name="Tc_KFxRocxymUabIo-z7hc5Hw_23_17"/>
      <w:bookmarkStart w:id="1506" w:name="Tc_f7vGXf58nkCh-oQ1wzPJSA_23_0"/>
      <w:bookmarkStart w:id="1507" w:name="Tc_aWSv_cmeEk6_seKX0NTAXA_22_0"/>
      <w:bookmarkStart w:id="1508" w:name="Tc_wOmKFlkTkk-FDehGIo6H8g_21_0"/>
      <w:bookmarkStart w:id="1509" w:name="Tc_NgC-L9qJHEmVeVuFIil5aQ_19_0"/>
      <w:bookmarkStart w:id="1510" w:name="Tc_URK7f4B_BkmVbMt0fVq7ow_18_15"/>
      <w:bookmarkStart w:id="1511" w:name="Tc_qpccBTkaxU-t7ozriopuGw_18_12"/>
      <w:bookmarkStart w:id="1512" w:name="Tc_3h5Wr3Lxd02K0EGBq6Vcsw_18_9"/>
      <w:bookmarkStart w:id="1513" w:name="Tc_GGDfzI-lrk-0wERpaOmt3g_18_6"/>
      <w:bookmarkStart w:id="1514" w:name="Tc_dA1ObTMLsEeGjwyNN3bQwQ_18_0"/>
      <w:bookmarkStart w:id="1515" w:name="Tc_MM9HSCZsZ0G5zhsrKm8lcA_17_15"/>
      <w:bookmarkStart w:id="1516" w:name="Tc_pQ6SKAVWGE2AbQzcttaf3Q_17_12"/>
      <w:bookmarkStart w:id="1517" w:name="Tc_VBW5M_3ZQUy45MGDGCtC8w_17_9"/>
      <w:bookmarkStart w:id="1518" w:name="Tc_JmYzjIol802yNQZMnDrhXA_17_6"/>
      <w:bookmarkStart w:id="1519" w:name="Tc_d5XWMbsFR0qlpN-t8Z_LxQ_17_0"/>
      <w:bookmarkStart w:id="1520" w:name="Tc_VUjsE2-vS0uBk9p9sz822Q_16_15"/>
      <w:bookmarkStart w:id="1521" w:name="Tc_ZZpyQcapnE20bWAGd8aifg_16_12"/>
      <w:bookmarkStart w:id="1522" w:name="Tc_NfxvvNhH_0CHSbPQ5EuF6w_16_6"/>
      <w:bookmarkStart w:id="1523" w:name="Tc_fd_hDRLPp0OyoyMP15lg2g_16_0"/>
      <w:bookmarkStart w:id="1524" w:name="Tc_10hIjp2weEuoU781uAPWVA_15_15"/>
      <w:bookmarkStart w:id="1525" w:name="Tc_sJWqFL2dL0aD8xVQTFAU6A_15_0"/>
      <w:bookmarkStart w:id="1526" w:name="Tc_2LJSVQ_k8UWMfIqmpvqG1w_14_15"/>
      <w:bookmarkStart w:id="1527" w:name="Tc_eAzqeIe6K0eDrmSOuHegwg_14_0"/>
      <w:bookmarkStart w:id="1528" w:name="Tc_6AQK9Bc710yT0vTDcUjorQ_13_15"/>
      <w:bookmarkStart w:id="1529" w:name="Tc_OdELRVyGXUy14dzRZEuCtg_13_0"/>
      <w:bookmarkStart w:id="1530" w:name="Tc_VMjHYl4vpkWA_tieyQ-Lfw_12_0"/>
      <w:bookmarkStart w:id="1531" w:name="Tc_FvOOCIZDMketzpWVREw5EQ_10_17"/>
      <w:bookmarkStart w:id="1532" w:name="Tc_qhdz35aH2EWPv3BucqdIYA_10_0"/>
      <w:bookmarkStart w:id="1533" w:name="Tc_eNQt8ahA9US4iVG8p_nACw_9_0"/>
      <w:bookmarkStart w:id="1534" w:name="Tc_gh7kc3mjyUqPBUpL_Qsgrg_8_0"/>
      <w:bookmarkStart w:id="1535" w:name="Tc_8HYtAZcYKUC8VeQacpNRVw_6_15"/>
      <w:bookmarkStart w:id="1536" w:name="Tc_DPMY3vTNKEC_U_6BnM2TFA_5_15"/>
      <w:bookmarkStart w:id="1537" w:name="Tc_Hx7KqiPt9kWQSNJlnzBOeg_5_0"/>
      <w:bookmarkStart w:id="1538" w:name="Tc_sl1N4_wSo0Cqznc7SWyEuQ_4_17"/>
      <w:bookmarkStart w:id="1539" w:name="Tc_u3YtAr5fFka1FhcP_yWZLg_4_15"/>
      <w:bookmarkStart w:id="1540" w:name="Tc_3c0nT0q9A0K25u-IiOoK8A_4_14"/>
      <w:bookmarkStart w:id="1541" w:name="Tc_FIGcT9T4rUSv6l2m9YWsFw_4_11"/>
      <w:bookmarkStart w:id="1542" w:name="Tc_r3b7irfyMkSwmDxDySoI1A_4_8"/>
      <w:bookmarkStart w:id="1543" w:name="Tc_tY2qG4Qb6UChEgv6N0IqoQ_4_5"/>
      <w:bookmarkStart w:id="1544" w:name="Tc_CutOpMne7kWSw5MpWEl3HQ_4_2"/>
      <w:bookmarkStart w:id="1545" w:name="Tc_YhwvcOKufE2Aw_SDPmrzMg_4_0"/>
      <w:bookmarkStart w:id="1546" w:name="Tc_yz_fmajHnUi7zEeS3s1ZFQ_3_17"/>
      <w:bookmarkStart w:id="1547" w:name="Tc_3oNdGszf9UqpI5O6Q_q3mQ_3_14"/>
      <w:bookmarkStart w:id="1548" w:name="Tc_-H4xkFfhHkynvrG87vUFbg_3_11"/>
      <w:bookmarkStart w:id="1549" w:name="Tc_PKWfTPR0WUO7UOW7H3bRdg_3_8"/>
      <w:bookmarkStart w:id="1550" w:name="Tc_n5lMcAHkk0e0uxTkVKy-ZQ_3_5"/>
      <w:bookmarkStart w:id="1551" w:name="Tc__8H8PeS3tUi-hslAgaNI6A_3_2"/>
      <w:bookmarkStart w:id="1552" w:name="Tc_usA4RwfxK0abjY75VH8WjA_2_14"/>
      <w:bookmarkStart w:id="1553" w:name="Tc_uAAr9j2D80qjXwNtoaFFkA_1_2"/>
      <w:bookmarkStart w:id="1554" w:name="_fb4b4c32_5d1e_468b_944a_f56bda563e4b"/>
      <w:bookmarkStart w:id="1555" w:name="Tc_MgYYq5tBekOcYBlNuAja3g_22_17"/>
      <w:bookmarkStart w:id="1556" w:name="Tc_oF0C1cJKW0-IEorsv2b-bg_22_0"/>
      <w:bookmarkStart w:id="1557" w:name="Tc_o7nNNsP_iUSHtlpFSeDsAw_21_0"/>
      <w:bookmarkStart w:id="1558" w:name="Tc_nl2xLb95UkGSGyzcKW-1mg_20_0"/>
      <w:bookmarkStart w:id="1559" w:name="Tc_V1ahMfhPPkWsqi5zIxO9Zw_18_15"/>
      <w:bookmarkStart w:id="1560" w:name="Tc_QcGVA1qtj0uTMwvv-GS4DQ_18_0"/>
      <w:bookmarkStart w:id="1561" w:name="Tc_CCeyhJL73Eab6aerACCLsg_17_15"/>
      <w:bookmarkStart w:id="1562" w:name="Tc_co92GyGauk-ZUywmce4mrQ_17_12"/>
      <w:bookmarkStart w:id="1563" w:name="Tc_xYgLgw84WUGiaWQbt42ugA_17_9"/>
      <w:bookmarkStart w:id="1564" w:name="Tc_lutflD3ULE2QPjVt_q2kIA_17_6"/>
      <w:bookmarkStart w:id="1565" w:name="Tc_Ldj7YNjHYE2gRE-Gs2AYhg_17_0"/>
      <w:bookmarkStart w:id="1566" w:name="Tc_O7IlPDGTiEmc4lR_g1XJ1w_16_15"/>
      <w:bookmarkStart w:id="1567" w:name="Tc_OPMPGiiDDUiwoeDGLFUp4A_16_12"/>
      <w:bookmarkStart w:id="1568" w:name="Tc_GEDkZosjKk2Tq3iYE2SNAQ_16_9"/>
      <w:bookmarkStart w:id="1569" w:name="Tc_WI9b7IQMCE62rJjuNtSPeQ_16_6"/>
      <w:bookmarkStart w:id="1570" w:name="Tc_GlQlCCzAak6a_7jfOlWFcg_16_0"/>
      <w:bookmarkStart w:id="1571" w:name="Tc_Z-blHAOiDUSrRU30X1oBkA_15_15"/>
      <w:bookmarkStart w:id="1572" w:name="Tc_4zN6pJf7-Eq_VOph7xWMOg_15_12"/>
      <w:bookmarkStart w:id="1573" w:name="Tc_ZAIS86SXRUK1FYxeuw-xSQ_15_0"/>
      <w:bookmarkStart w:id="1574" w:name="Tc_RcRDWsd8C0ax5fvR7rEK9Q_14_15"/>
      <w:bookmarkStart w:id="1575" w:name="Tc_kQz8UFmJBEGYbgRlQYUiEw_14_0"/>
      <w:bookmarkStart w:id="1576" w:name="Tc_njAQ0_SwOUGxeCBjsnzx5Q_13_15"/>
      <w:bookmarkStart w:id="1577" w:name="Tc_dPc0DEec_EadwqTnBDYgLA_13_0"/>
      <w:bookmarkStart w:id="1578" w:name="Tc_dPCVARkjdU-9b80pt-VcXw_12_15"/>
      <w:bookmarkStart w:id="1579" w:name="Tc_AsuuWwdD1U2kmY0QrmCP7A_12_0"/>
      <w:bookmarkStart w:id="1580" w:name="Tc_uVeFpwNeLUaZdGcWqS_Ivw_11_0"/>
      <w:bookmarkStart w:id="1581" w:name="Tc_f_pA2P4MokiqI5tzch1OaQ_9_17"/>
      <w:bookmarkStart w:id="1582" w:name="Tc_S84_aozxTEyGN3FPNCm33w_9_0"/>
      <w:bookmarkStart w:id="1583" w:name="Tc_sOtZz8YRR0aiBgcIZOgNOA_8_0"/>
      <w:bookmarkStart w:id="1584" w:name="Tc_6iL1eOR2h06kn39FhJFbgg_7_0"/>
      <w:bookmarkStart w:id="1585" w:name="Tc_MAET40H660iZOHkb95lIBA_5_15"/>
      <w:bookmarkStart w:id="1586" w:name="Tc_5gv8gkV_4kSdHRh7Mw64tg_4_15"/>
      <w:bookmarkStart w:id="1587" w:name="Tc_ttRoncrQ0k-p8JzNkua7Fw_4_6"/>
      <w:bookmarkStart w:id="1588" w:name="Tc_aivTpftLa0GbeHBF53s5gQ_4_0"/>
      <w:bookmarkStart w:id="1589" w:name="Tc_khCq-banEEugKoo_tbuM_w_3_17"/>
      <w:bookmarkStart w:id="1590" w:name="Tc_NlegmIfZG0aKB412BZjeeg_3_15"/>
      <w:bookmarkStart w:id="1591" w:name="Tc_tokZq_I1hkytnhzO6LaWKg_3_14"/>
      <w:bookmarkStart w:id="1592" w:name="Tc_w9DgfbJJ1EGNHs74X1nrgQ_3_11"/>
      <w:bookmarkStart w:id="1593" w:name="Tc_QWb9h7bbGUGD63GUKBnOng_3_8"/>
      <w:bookmarkStart w:id="1594" w:name="Tc_8kp8nituCEOKxyL7vEL53g_3_5"/>
      <w:bookmarkStart w:id="1595" w:name="Tc_bRBC6ALNiE-9XXZqSiuFDA_3_2"/>
      <w:bookmarkStart w:id="1596" w:name="Tc_g09-UonSWkuWDnTv8erDnA_3_0"/>
      <w:bookmarkStart w:id="1597" w:name="Tc_S6tzOwSwXEiODKQYAlyNRw_2_17"/>
      <w:bookmarkStart w:id="1598" w:name="Tc_mnGZz1cOzEaXHzzi9NXw7g_2_14"/>
      <w:bookmarkStart w:id="1599" w:name="Tc_9xb5W7jOr0mREKMqkuldAw_2_11"/>
      <w:bookmarkStart w:id="1600" w:name="Tc_7I-vcH1C90iDqOL14QaTsA_2_8"/>
      <w:bookmarkStart w:id="1601" w:name="Tc_coZ4kLi8LkWSDiJYlkSx2A_2_5"/>
      <w:bookmarkStart w:id="1602" w:name="Tc_pehuo2QgWESGPIft0CVD6A_2_2"/>
      <w:bookmarkStart w:id="1603" w:name="Tc_lxesd6pDTEKMKPVQctdMjg_1_2"/>
      <w:bookmarkStart w:id="1604" w:name="_7da3f6db_db4d_47c6_88b7_34dc5ecb9b8e"/>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p>
    <w:tbl>
      <w:tblPr>
        <w:tblW w:w="10205" w:type="dxa"/>
        <w:jc w:val="left"/>
        <w:tblInd w:w="0" w:type="dxa"/>
        <w:tblLayout w:type="fixed"/>
        <w:tblCellMar>
          <w:top w:w="0" w:type="dxa"/>
          <w:left w:w="0" w:type="dxa"/>
          <w:bottom w:w="0" w:type="dxa"/>
          <w:right w:w="0" w:type="dxa"/>
        </w:tblCellMar>
      </w:tblPr>
      <w:tblGrid>
        <w:gridCol w:w="2037"/>
        <w:gridCol w:w="346"/>
        <w:gridCol w:w="223"/>
        <w:gridCol w:w="802"/>
        <w:gridCol w:w="346"/>
        <w:gridCol w:w="222"/>
        <w:gridCol w:w="798"/>
        <w:gridCol w:w="346"/>
        <w:gridCol w:w="211"/>
        <w:gridCol w:w="785"/>
        <w:gridCol w:w="346"/>
        <w:gridCol w:w="211"/>
        <w:gridCol w:w="754"/>
        <w:gridCol w:w="346"/>
        <w:gridCol w:w="211"/>
        <w:gridCol w:w="754"/>
        <w:gridCol w:w="346"/>
        <w:gridCol w:w="211"/>
        <w:gridCol w:w="910"/>
      </w:tblGrid>
      <w:tr>
        <w:trPr/>
        <w:tc>
          <w:tcPr>
            <w:tcW w:w="2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93495" cy="175260"/>
                      <wp:effectExtent l="0" t="0" r="0" b="0"/>
                      <wp:wrapNone/>
                      <wp:docPr id="228" name="Frame228"/>
                      <a:graphic xmlns:a="http://schemas.openxmlformats.org/drawingml/2006/main">
                        <a:graphicData uri="http://schemas.microsoft.com/office/word/2010/wordprocessingShape">
                          <wps:wsp>
                            <wps:cNvSpPr txBox="1"/>
                            <wps:spPr>
                              <a:xfrm>
                                <a:off x="0" y="0"/>
                                <a:ext cx="1293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1605" cy="175260"/>
                      <wp:effectExtent l="0" t="0" r="0" b="0"/>
                      <wp:wrapNone/>
                      <wp:docPr id="230" name="Frame23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09270" cy="175260"/>
                      <wp:effectExtent l="0" t="0" r="0" b="0"/>
                      <wp:wrapNone/>
                      <wp:docPr id="231" name="Frame231"/>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0970" cy="175260"/>
                      <wp:effectExtent l="0" t="0" r="0" b="0"/>
                      <wp:wrapNone/>
                      <wp:docPr id="233" name="Frame23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6730" cy="175260"/>
                      <wp:effectExtent l="0" t="0" r="0" b="0"/>
                      <wp:wrapNone/>
                      <wp:docPr id="234" name="Frame234"/>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98475" cy="175260"/>
                      <wp:effectExtent l="0" t="0" r="0" b="0"/>
                      <wp:wrapNone/>
                      <wp:docPr id="237" name="Frame237"/>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78790" cy="175260"/>
                      <wp:effectExtent l="0" t="0" r="0" b="0"/>
                      <wp:wrapNone/>
                      <wp:docPr id="240" name="Frame240"/>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78790" cy="175260"/>
                      <wp:effectExtent l="0" t="0" r="0" b="0"/>
                      <wp:wrapNone/>
                      <wp:docPr id="243" name="Frame243"/>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77850" cy="175260"/>
                      <wp:effectExtent l="0" t="0" r="0" b="0"/>
                      <wp:wrapNone/>
                      <wp:docPr id="246" name="Frame246"/>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2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0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North America</w:t>
            </w:r>
          </w:p>
        </w:tc>
        <w:tc>
          <w:tcPr>
            <w:tcW w:w="346" w:type="dxa"/>
            <w:tcBorders/>
            <w:vAlign w:val="center"/>
          </w:tcPr>
          <w:p>
            <w:pPr>
              <w:pStyle w:val="TableContents"/>
              <w:bidi w:val="0"/>
              <w:spacing w:before="0" w:after="0"/>
              <w:ind w:left="0" w:right="0" w:hanging="0"/>
              <w:jc w:val="center"/>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 America</w:t>
            </w:r>
          </w:p>
        </w:tc>
        <w:tc>
          <w:tcPr>
            <w:tcW w:w="346" w:type="dxa"/>
            <w:tcBorders/>
            <w:vAlign w:val="center"/>
          </w:tcPr>
          <w:p>
            <w:pPr>
              <w:pStyle w:val="TableContents"/>
              <w:bidi w:val="0"/>
              <w:spacing w:before="0" w:after="0"/>
              <w:ind w:left="0" w:right="0" w:hanging="0"/>
              <w:jc w:val="center"/>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46" w:type="dxa"/>
            <w:tcBorders/>
            <w:vAlign w:val="center"/>
          </w:tcPr>
          <w:p>
            <w:pPr>
              <w:pStyle w:val="TableContents"/>
              <w:bidi w:val="0"/>
              <w:spacing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46" w:type="dxa"/>
            <w:tcBorders/>
            <w:vAlign w:val="center"/>
          </w:tcPr>
          <w:p>
            <w:pPr>
              <w:pStyle w:val="TableContents"/>
              <w:bidi w:val="0"/>
              <w:spacing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  ​ ​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external customers</w:t>
            </w:r>
          </w:p>
        </w:tc>
        <w:tc>
          <w:tcPr>
            <w:tcW w:w="34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69,609</w:t>
            </w:r>
          </w:p>
        </w:tc>
        <w:tc>
          <w:tcPr>
            <w:tcW w:w="346"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68,231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176,668</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8,257</w:t>
            </w:r>
          </w:p>
        </w:tc>
        <w:tc>
          <w:tcPr>
            <w:tcW w:w="34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41,692</w:t>
            </w:r>
          </w:p>
        </w:tc>
      </w:tr>
      <w:tr>
        <w:trPr/>
        <w:tc>
          <w:tcPr>
            <w:tcW w:w="20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77,866</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101,662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218,360</w: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  ​</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 of intersegment sales</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(41,692)</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net sales</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176,668</w: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(72,521)</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(156,570)</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(4,983)</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(11,287)</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(18,394)</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charge</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 and related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(9,736)</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r>
      <w:tr>
        <w:trPr/>
        <w:tc>
          <w:tcPr>
            <w:tcW w:w="20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r>
      <w:tr>
        <w:trPr/>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r>
      <w:tr>
        <w:trPr/>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before income taxes</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(10,802)</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37"/>
        <w:gridCol w:w="346"/>
        <w:gridCol w:w="223"/>
        <w:gridCol w:w="833"/>
        <w:gridCol w:w="346"/>
        <w:gridCol w:w="222"/>
        <w:gridCol w:w="798"/>
        <w:gridCol w:w="346"/>
        <w:gridCol w:w="211"/>
        <w:gridCol w:w="754"/>
        <w:gridCol w:w="346"/>
        <w:gridCol w:w="211"/>
        <w:gridCol w:w="754"/>
        <w:gridCol w:w="346"/>
        <w:gridCol w:w="211"/>
        <w:gridCol w:w="754"/>
        <w:gridCol w:w="346"/>
        <w:gridCol w:w="211"/>
        <w:gridCol w:w="910"/>
      </w:tblGrid>
      <w:tr>
        <w:trPr/>
        <w:tc>
          <w:tcPr>
            <w:tcW w:w="2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93495" cy="175260"/>
                      <wp:effectExtent l="0" t="0" r="0" b="0"/>
                      <wp:wrapNone/>
                      <wp:docPr id="247" name="Frame247"/>
                      <a:graphic xmlns:a="http://schemas.openxmlformats.org/drawingml/2006/main">
                        <a:graphicData uri="http://schemas.microsoft.com/office/word/2010/wordprocessingShape">
                          <wps:wsp>
                            <wps:cNvSpPr txBox="1"/>
                            <wps:spPr>
                              <a:xfrm>
                                <a:off x="0" y="0"/>
                                <a:ext cx="1293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1605" cy="175260"/>
                      <wp:effectExtent l="0" t="0" r="0" b="0"/>
                      <wp:wrapNone/>
                      <wp:docPr id="249" name="Frame24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28955" cy="175260"/>
                      <wp:effectExtent l="0" t="0" r="0" b="0"/>
                      <wp:wrapNone/>
                      <wp:docPr id="250" name="Frame25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0970" cy="175260"/>
                      <wp:effectExtent l="0" t="0" r="0" b="0"/>
                      <wp:wrapNone/>
                      <wp:docPr id="252" name="Frame25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06730" cy="175260"/>
                      <wp:effectExtent l="0" t="0" r="0" b="0"/>
                      <wp:wrapNone/>
                      <wp:docPr id="253" name="Frame253"/>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78790" cy="175260"/>
                      <wp:effectExtent l="0" t="0" r="0" b="0"/>
                      <wp:wrapNone/>
                      <wp:docPr id="256" name="Frame256"/>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78790" cy="175260"/>
                      <wp:effectExtent l="0" t="0" r="0" b="0"/>
                      <wp:wrapNone/>
                      <wp:docPr id="259" name="Frame259"/>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78790" cy="175260"/>
                      <wp:effectExtent l="0" t="0" r="0" b="0"/>
                      <wp:wrapNone/>
                      <wp:docPr id="262" name="Frame262"/>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7850" cy="175260"/>
                      <wp:effectExtent l="0" t="0" r="0" b="0"/>
                      <wp:wrapNone/>
                      <wp:docPr id="265" name="Frame265"/>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2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8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Elimination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10" w:type="dxa"/>
            <w:tcBorders/>
            <w:vAlign w:val="center"/>
          </w:tcPr>
          <w:p>
            <w:pPr>
              <w:pStyle w:val="TableContents"/>
              <w:bidi w:val="0"/>
              <w:spacing w:before="0" w:after="0"/>
              <w:ind w:left="0" w:right="0" w:hanging="0"/>
              <w:jc w:val="center"/>
              <w:rPr/>
            </w:pPr>
            <w:r>
              <w:rPr/>
              <w:t>​</w: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North America</w:t>
            </w:r>
          </w:p>
        </w:tc>
        <w:tc>
          <w:tcPr>
            <w:tcW w:w="346" w:type="dxa"/>
            <w:tcBorders/>
            <w:vAlign w:val="center"/>
          </w:tcPr>
          <w:p>
            <w:pPr>
              <w:pStyle w:val="TableContents"/>
              <w:bidi w:val="0"/>
              <w:spacing w:before="0" w:after="0"/>
              <w:ind w:left="0" w:right="0" w:hanging="0"/>
              <w:jc w:val="center"/>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 America</w:t>
            </w:r>
          </w:p>
        </w:tc>
        <w:tc>
          <w:tcPr>
            <w:tcW w:w="346" w:type="dxa"/>
            <w:tcBorders/>
            <w:vAlign w:val="center"/>
          </w:tcPr>
          <w:p>
            <w:pPr>
              <w:pStyle w:val="TableContents"/>
              <w:bidi w:val="0"/>
              <w:spacing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46" w:type="dxa"/>
            <w:tcBorders/>
            <w:vAlign w:val="center"/>
          </w:tcPr>
          <w:p>
            <w:pPr>
              <w:pStyle w:val="TableContents"/>
              <w:bidi w:val="0"/>
              <w:spacing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46" w:type="dxa"/>
            <w:tcBorders/>
            <w:vAlign w:val="center"/>
          </w:tcPr>
          <w:p>
            <w:pPr>
              <w:pStyle w:val="TableContents"/>
              <w:bidi w:val="0"/>
              <w:spacing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0" w:after="0"/>
              <w:ind w:left="0" w:right="0" w:hanging="0"/>
              <w:jc w:val="center"/>
              <w:rPr/>
            </w:pPr>
            <w:r>
              <w:rPr/>
              <w:t>  ​ ​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external customers</w:t>
            </w:r>
          </w:p>
        </w:tc>
        <w:tc>
          <w:tcPr>
            <w:tcW w:w="34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84,694</w:t>
            </w:r>
          </w:p>
        </w:tc>
        <w:tc>
          <w:tcPr>
            <w:tcW w:w="346"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191,467</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net sales</w:t>
            </w:r>
          </w:p>
        </w:tc>
        <w:tc>
          <w:tcPr>
            <w:tcW w:w="346" w:type="dxa"/>
            <w:tcBorders/>
            <w:vAlign w:val="center"/>
          </w:tcPr>
          <w:p>
            <w:pPr>
              <w:pStyle w:val="TableContents"/>
              <w:bidi w:val="0"/>
              <w:spacing w:before="0" w:after="0"/>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15,620</w:t>
            </w:r>
          </w:p>
        </w:tc>
        <w:tc>
          <w:tcPr>
            <w:tcW w:w="34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38,781</w:t>
            </w:r>
          </w:p>
        </w:tc>
      </w:tr>
      <w:tr>
        <w:trPr/>
        <w:tc>
          <w:tcPr>
            <w:tcW w:w="20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100,314</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85,663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230,248</w: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  ​</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 of intersegment sales</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(38,781)</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net sales</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191,467</w:t>
            </w:r>
          </w:p>
        </w:tc>
      </w:tr>
      <w:tr>
        <w:trPr/>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(88,179)</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(165,427)</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(18,778)</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charge</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 and related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(20,379)</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(17,031)</w:t>
            </w:r>
          </w:p>
        </w:tc>
      </w:tr>
      <w:tr>
        <w:trPr/>
        <w:tc>
          <w:tcPr>
            <w:tcW w:w="20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20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20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before income taxes</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(20,911)</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reflects the Company’s inventory by segment:</w:t>
      </w:r>
    </w:p>
    <w:tbl>
      <w:tblPr>
        <w:tblW w:w="5794" w:type="dxa"/>
        <w:jc w:val="left"/>
        <w:tblInd w:w="0" w:type="dxa"/>
        <w:tblLayout w:type="fixed"/>
        <w:tblCellMar>
          <w:top w:w="0" w:type="dxa"/>
          <w:left w:w="0" w:type="dxa"/>
          <w:bottom w:w="0" w:type="dxa"/>
          <w:right w:w="0" w:type="dxa"/>
        </w:tblCellMar>
      </w:tblPr>
      <w:tblGrid>
        <w:gridCol w:w="2056"/>
        <w:gridCol w:w="346"/>
        <w:gridCol w:w="271"/>
        <w:gridCol w:w="1004"/>
        <w:gridCol w:w="346"/>
        <w:gridCol w:w="372"/>
        <w:gridCol w:w="1399"/>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05560" cy="175260"/>
                      <wp:effectExtent l="0" t="0" r="0" b="0"/>
                      <wp:wrapNone/>
                      <wp:docPr id="266" name="Frame266"/>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72085" cy="175260"/>
                      <wp:effectExtent l="0" t="0" r="0" b="0"/>
                      <wp:wrapNone/>
                      <wp:docPr id="268" name="Frame26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37540" cy="175260"/>
                      <wp:effectExtent l="0" t="0" r="0" b="0"/>
                      <wp:wrapNone/>
                      <wp:docPr id="269" name="Frame269"/>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36220" cy="175260"/>
                      <wp:effectExtent l="0" t="0" r="0" b="0"/>
                      <wp:wrapNone/>
                      <wp:docPr id="271" name="Frame27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888365" cy="175260"/>
                      <wp:effectExtent l="0" t="0" r="0" b="0"/>
                      <wp:wrapNone/>
                      <wp:docPr id="272" name="Frame272"/>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33,494</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30,678</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America</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20,466</w:t>
            </w:r>
          </w:p>
        </w:tc>
        <w:tc>
          <w:tcPr>
            <w:tcW w:w="34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 </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19,160</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36,330</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 </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37,767</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15,006</w:t>
            </w:r>
          </w:p>
        </w:tc>
        <w:tc>
          <w:tcPr>
            <w:tcW w:w="346" w:type="dxa"/>
            <w:tcBorders/>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9,150</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105,296</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96,755</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605" w:name="Tc_W3IFi1QVRUatHVRjY2VuEg_8_5"/>
      <w:bookmarkStart w:id="1606" w:name="Tc_z8-ix_s9BUqiJCvs87z25Q_8_2"/>
      <w:bookmarkStart w:id="1607" w:name="Tc_n7JE0vxNNEmtPEl3B2uTlQ_8_0"/>
      <w:bookmarkStart w:id="1608" w:name="Tc_jtkCOEv4Lky6MBwAdi5aHA_7_0"/>
      <w:bookmarkStart w:id="1609" w:name="Tc_l75CQeVxMkauP8Qpn8VLJA_6_0"/>
      <w:bookmarkStart w:id="1610" w:name="Tc_aVC550lNl0mLLgpIvjmWaw_5_0"/>
      <w:bookmarkStart w:id="1611" w:name="Tc_G1q89lCdfUur1jsxVy0zsA_4_0"/>
      <w:bookmarkStart w:id="1612" w:name="Tc_X86rvd84hESXo73WHKjEXQ_3_0"/>
      <w:bookmarkStart w:id="1613" w:name="Tc_Z1v1UmeKIEaoGdBloThorw_2_5"/>
      <w:bookmarkStart w:id="1614" w:name="Tc_T1cvw5fMT0SAhczVSDFhIA_2_2"/>
      <w:bookmarkStart w:id="1615" w:name="Tc_WrN8OYugVUWTkVSA5XrlHA_2_0"/>
      <w:bookmarkStart w:id="1616" w:name="Tc_0IC33cUHFEWa3Tw80E9eUg_1_5"/>
      <w:bookmarkStart w:id="1617" w:name="Tc_dKHRRiv6yEysk11v7-J4zQ_1_2"/>
      <w:bookmarkStart w:id="1618" w:name="_ce5bdf56_9c02_4708_9e4e_e35af59cc4df"/>
      <w:bookmarkStart w:id="1619" w:name="Tc_7TLKXcUzG0qUTjU8RIml0Q_6_5"/>
      <w:bookmarkStart w:id="1620" w:name="Tc_zPPgu4Oe_0i-xRtNMn-SZg_6_2"/>
      <w:bookmarkStart w:id="1621" w:name="Tc_M371U2maQEmLk5proacioQ_6_0"/>
      <w:bookmarkStart w:id="1622" w:name="Tc_WKiZG6Pw00um14LEFFxLGg_5_0"/>
      <w:bookmarkStart w:id="1623" w:name="Tc_zfEFTMZbgU62W8Z5yJ1_7w_4_0"/>
      <w:bookmarkStart w:id="1624" w:name="Tc_xmYOPBIWK0eOTKv1D4r6Hg_3_3"/>
      <w:bookmarkStart w:id="1625" w:name="Tc_nTq-1uQx0UORALVujGpHRQ_3_0"/>
      <w:bookmarkStart w:id="1626" w:name="Tc_HQLpHwwrBUmhxD49pmLgsA_2_5"/>
      <w:bookmarkStart w:id="1627" w:name="Tc_B-VTcKcMy0aGPUgBPqaZMw_2_2"/>
      <w:bookmarkStart w:id="1628" w:name="Tc_VekPDCJhkUWuarNPfMIX3w_2_0"/>
      <w:bookmarkStart w:id="1629" w:name="Tc_AS5zL1sQV0GlnDY8XPh5dA_1_5"/>
      <w:bookmarkStart w:id="1630" w:name="Tc_cG5fQeom8kadHf1DTUYaBw_1_2"/>
      <w:bookmarkStart w:id="1631" w:name="_71f19a20_b07c_4b81_b374_31d1f5a9c49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r>
        <w:rPr>
          <w:rFonts w:ascii="Times New Roman;Times;serif" w:hAnsi="Times New Roman;Times;serif"/>
          <w:sz w:val="20"/>
        </w:rPr>
        <w:t>The following table reflects the Company’s expenditures for long-lived assets by segment:</w:t>
      </w:r>
    </w:p>
    <w:tbl>
      <w:tblPr>
        <w:tblW w:w="6664" w:type="dxa"/>
        <w:jc w:val="left"/>
        <w:tblInd w:w="0" w:type="dxa"/>
        <w:tblLayout w:type="fixed"/>
        <w:tblCellMar>
          <w:top w:w="0" w:type="dxa"/>
          <w:left w:w="0" w:type="dxa"/>
          <w:bottom w:w="0" w:type="dxa"/>
          <w:right w:w="0" w:type="dxa"/>
        </w:tblCellMar>
      </w:tblPr>
      <w:tblGrid>
        <w:gridCol w:w="3301"/>
        <w:gridCol w:w="346"/>
        <w:gridCol w:w="267"/>
        <w:gridCol w:w="858"/>
        <w:gridCol w:w="346"/>
        <w:gridCol w:w="324"/>
        <w:gridCol w:w="1222"/>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96135" cy="175260"/>
                      <wp:effectExtent l="0" t="0" r="0" b="0"/>
                      <wp:wrapNone/>
                      <wp:docPr id="273" name="Frame27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69545" cy="175260"/>
                      <wp:effectExtent l="0" t="0" r="0" b="0"/>
                      <wp:wrapNone/>
                      <wp:docPr id="275" name="Frame27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44830" cy="175260"/>
                      <wp:effectExtent l="0" t="0" r="0" b="0"/>
                      <wp:wrapNone/>
                      <wp:docPr id="276" name="Frame27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5740" cy="175260"/>
                      <wp:effectExtent l="0" t="0" r="0" b="0"/>
                      <wp:wrapNone/>
                      <wp:docPr id="278" name="Frame278"/>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75970" cy="175260"/>
                      <wp:effectExtent l="0" t="0" r="0" b="0"/>
                      <wp:wrapNone/>
                      <wp:docPr id="279" name="Frame279"/>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America</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expenditure for long- lived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15,541</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36,782</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Geographic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long-lived assets by country, which include property and equipment, net, operating lease right-of-use assets, net, and other assets, net, consists of the following:</w:t>
      </w:r>
    </w:p>
    <w:p>
      <w:pPr>
        <w:pStyle w:val="TextBody"/>
        <w:bidi w:val="0"/>
        <w:spacing w:before="0" w:after="0"/>
        <w:ind w:left="0" w:right="0" w:hanging="0"/>
        <w:jc w:val="both"/>
        <w:rPr/>
      </w:pPr>
      <w:r>
        <w:rPr/>
        <w:t>​</w:t>
      </w:r>
    </w:p>
    <w:tbl>
      <w:tblPr>
        <w:tblW w:w="5989" w:type="dxa"/>
        <w:jc w:val="left"/>
        <w:tblInd w:w="0" w:type="dxa"/>
        <w:tblLayout w:type="fixed"/>
        <w:tblCellMar>
          <w:top w:w="0" w:type="dxa"/>
          <w:left w:w="0" w:type="dxa"/>
          <w:bottom w:w="0" w:type="dxa"/>
          <w:right w:w="0" w:type="dxa"/>
        </w:tblCellMar>
      </w:tblPr>
      <w:tblGrid>
        <w:gridCol w:w="2626"/>
        <w:gridCol w:w="346"/>
        <w:gridCol w:w="239"/>
        <w:gridCol w:w="886"/>
        <w:gridCol w:w="346"/>
        <w:gridCol w:w="294"/>
        <w:gridCol w:w="1252"/>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667510" cy="175260"/>
                      <wp:effectExtent l="0" t="0" r="0" b="0"/>
                      <wp:wrapNone/>
                      <wp:docPr id="280" name="Frame28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51765" cy="175260"/>
                      <wp:effectExtent l="0" t="0" r="0" b="0"/>
                      <wp:wrapNone/>
                      <wp:docPr id="282" name="Frame28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62610" cy="175260"/>
                      <wp:effectExtent l="0" t="0" r="0" b="0"/>
                      <wp:wrapNone/>
                      <wp:docPr id="283" name="Frame2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6690" cy="175260"/>
                      <wp:effectExtent l="0" t="0" r="0" b="0"/>
                      <wp:wrapNone/>
                      <wp:docPr id="285" name="Frame28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95020" cy="175260"/>
                      <wp:effectExtent l="0" t="0" r="0" b="0"/>
                      <wp:wrapNone/>
                      <wp:docPr id="286" name="Frame286"/>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103,667</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92,876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27,749</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29,630</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11,286</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12,337</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10,509</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11,671</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Philippines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7,567</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international</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14,813</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16,220</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long-lived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175,591</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171,090</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32" w:name="Tc_thR-jlk_x028u3LKrhZF2Q_14_8"/>
      <w:bookmarkStart w:id="1633" w:name="Tc_q0gs0NKfL0u3PPFwouTQfw_14_5"/>
      <w:bookmarkStart w:id="1634" w:name="Tc_l-NFTpsSbkO6ZRkA_0F_dw_14_2"/>
      <w:bookmarkStart w:id="1635" w:name="Tc_m9bIPRbnQkyOghwBF8evbw_14_0"/>
      <w:bookmarkStart w:id="1636" w:name="Tc_Hnf70N-2AU-bxGzjascrNQ_13_6"/>
      <w:bookmarkStart w:id="1637" w:name="Tc_5IS64gPSSUe0Cjo0BwsOeQ_13_0"/>
      <w:bookmarkStart w:id="1638" w:name="Tc_tHdNi-nJvkqHc1F6_HzFRg_12_0"/>
      <w:bookmarkStart w:id="1639" w:name="Tc_tqczV00TpEyAslU02lC1jQ_11_3"/>
      <w:bookmarkStart w:id="1640" w:name="Tc_HEw1xvnRckiB2e-2zYovBg_11_0"/>
      <w:bookmarkStart w:id="1641" w:name="Tc_yspUdfmde0ibyn459KhGlg_10_0"/>
      <w:bookmarkStart w:id="1642" w:name="Tc_Gy6Mr91iy0m940fZ7c4ycg_8_8"/>
      <w:bookmarkStart w:id="1643" w:name="Tc_JcaOchMxUUqjAplsEbiD3Q_8_5"/>
      <w:bookmarkStart w:id="1644" w:name="Tc_puSpUUpCEU6SaVpe-XU33Q_8_2"/>
      <w:bookmarkStart w:id="1645" w:name="Tc_7IbVPVgDmE-39GcDlEsJtg_8_0"/>
      <w:bookmarkStart w:id="1646" w:name="Tc_KwW05l6SR0SetlqVZz3JeA_7_6"/>
      <w:bookmarkStart w:id="1647" w:name="Tc_FDYmyQ5PNEiTpNAz370EsQ_7_0"/>
      <w:bookmarkStart w:id="1648" w:name="Tc_eTSaLx0yXUiytWn2MThMGw_6_0"/>
      <w:bookmarkStart w:id="1649" w:name="Tc_QHKBhushn0yGyHEjrBvOmQ_5_3"/>
      <w:bookmarkStart w:id="1650" w:name="Tc_Nolhopjfm02HAu4sK7DWkw_5_0"/>
      <w:bookmarkStart w:id="1651" w:name="Tc_X0XSKYRcokaZmFbbV8NlPQ_4_0"/>
      <w:bookmarkStart w:id="1652" w:name="Tc_Dal_G4AojEq3yI9Ca-OIpg_3_8"/>
      <w:bookmarkStart w:id="1653" w:name="Tc_UjD4sX7P70OpcZhRwd9tLw_3_5"/>
      <w:bookmarkStart w:id="1654" w:name="Tc_wygcT_Dl0EGF88lSqYh9Uw_3_2"/>
      <w:bookmarkStart w:id="1655" w:name="Tc_oBtzea4UDEOGqZk_i7YwgA_3_0"/>
      <w:bookmarkStart w:id="1656" w:name="Tc_tHt8Su___k6aLiwFij1rqw_2_8"/>
      <w:bookmarkStart w:id="1657" w:name="Tc_57NMRGFOrkK1gBCfpjc5DQ_2_5"/>
      <w:bookmarkStart w:id="1658" w:name="Tc_3FcZRmabBEuuGQLIDZsxWg_2_2"/>
      <w:bookmarkStart w:id="1659" w:name="Tc_8VkpoxrpAkqGRj5016O0fA_1_5"/>
      <w:bookmarkStart w:id="1660" w:name="Tc_7EQp5zwhw0eitkxQKX-DGg_1_2"/>
      <w:bookmarkStart w:id="1661" w:name="_9af45013_cb5f_403c_9ff9_bb338d7308fa"/>
      <w:bookmarkStart w:id="1662" w:name="Tc_qowLQdBERkqOR9Li3K8rHA_14_8"/>
      <w:bookmarkStart w:id="1663" w:name="Tc_jCGO5kaaB0-ZqDXr9fORxg_14_5"/>
      <w:bookmarkStart w:id="1664" w:name="Tc_C_c2391KhEeJE_EQ_s0ydA_14_2"/>
      <w:bookmarkStart w:id="1665" w:name="Tc_KtAd3kmq7Uajb8JwIuGWqQ_14_0"/>
      <w:bookmarkStart w:id="1666" w:name="Tc_5fUMh7KO60OzDMw1EXn-Qw_13_6"/>
      <w:bookmarkStart w:id="1667" w:name="Tc_BnN01NrRJU6uJQkyv2yCPA_13_0"/>
      <w:bookmarkStart w:id="1668" w:name="Tc_w_ZMfQIBC0WmlYxxKdoIlg_12_0"/>
      <w:bookmarkStart w:id="1669" w:name="Tc_CPPMmxtYCkW0w7NAOM2-bw_11_3"/>
      <w:bookmarkStart w:id="1670" w:name="Tc_5UrxOgnHKEqasxEOGup4HA_11_0"/>
      <w:bookmarkStart w:id="1671" w:name="Tc_hq8zP2mU4k-3noGqbQBSfQ_10_0"/>
      <w:bookmarkStart w:id="1672" w:name="Tc_p6cxnikoRkuh1F7JZ4RAWA_8_8"/>
      <w:bookmarkStart w:id="1673" w:name="Tc_xvM8mBaWIEKKXUJRV1rgjA_8_5"/>
      <w:bookmarkStart w:id="1674" w:name="Tc_OmdZlVvXs0u72ZvEh_JvaQ_8_2"/>
      <w:bookmarkStart w:id="1675" w:name="Tc_p1y-SuEAlkGIy3yhBYSoOA_8_0"/>
      <w:bookmarkStart w:id="1676" w:name="Tc_fw70s8IrCUaU9ISG9PZ3Og_7_6"/>
      <w:bookmarkStart w:id="1677" w:name="Tc_sOd-nwbG60aKNxAeU__28Q_7_0"/>
      <w:bookmarkStart w:id="1678" w:name="Tc_o2Lu9xSZdUGAd6ql9tAtgw_6_0"/>
      <w:bookmarkStart w:id="1679" w:name="Tc_4r5TzPhlu0-QwI53L00w7g_5_3"/>
      <w:bookmarkStart w:id="1680" w:name="Tc_Uaz1tsRHhkKtkp5v12y5VQ_5_0"/>
      <w:bookmarkStart w:id="1681" w:name="Tc_TzJLYX0uskmy0tNA4Xm5PQ_4_0"/>
      <w:bookmarkStart w:id="1682" w:name="Tc_KS8vUQT0-ECMQhkmYF6K1w_3_8"/>
      <w:bookmarkStart w:id="1683" w:name="Tc_Kg9I2jhll0a7tLXJltaP1w_3_5"/>
      <w:bookmarkStart w:id="1684" w:name="Tc_LQsJahktVEez2-XIBi9a0w_3_2"/>
      <w:bookmarkStart w:id="1685" w:name="Tc_fcW8JJtzYU-MAT8CbNEbOA_3_0"/>
      <w:bookmarkStart w:id="1686" w:name="Tc_YtvR3DC440K8CoVs96cg1w_2_8"/>
      <w:bookmarkStart w:id="1687" w:name="Tc_2EZjFit6FkaeiZTVpij7zA_2_5"/>
      <w:bookmarkStart w:id="1688" w:name="Tc_tg_gtKQ7lEuXBupz2EtD2w_2_2"/>
      <w:bookmarkStart w:id="1689" w:name="Tc_BgxeYkisrE-Ng4F5pbXQxQ_1_5"/>
      <w:bookmarkStart w:id="1690" w:name="Tc_NDVddxF7vUmp6NaWei5hDQ_1_2"/>
      <w:bookmarkStart w:id="1691" w:name="_73ca1969_1d4f_48b6_935f_638e1612179c"/>
      <w:bookmarkStart w:id="1692" w:name="Tc_qeO2ww7ytUWDQ91HTXmrBg_6_8"/>
      <w:bookmarkStart w:id="1693" w:name="Tc_oS3RKgrq_kemdD6D46lQ_w_6_6"/>
      <w:bookmarkStart w:id="1694" w:name="Tc_D-tPLIBQ6UiWi4T_Lb4o5A_6_5"/>
      <w:bookmarkStart w:id="1695" w:name="Tc_2byCxFcMKU-molOEBeA8MA_6_2"/>
      <w:bookmarkStart w:id="1696" w:name="Tc_ndb3RyqZ_kiTFGDKvmAVJg_6_0"/>
      <w:bookmarkStart w:id="1697" w:name="Tc_GeTL-fKU90mRc7cMjtVb2w_5_6"/>
      <w:bookmarkStart w:id="1698" w:name="Tc_LL5r5ywCU0yrVIf0C22Hhw_5_0"/>
      <w:bookmarkStart w:id="1699" w:name="Tc_5Wkysw2gpU2EXqa04cRIRw_4_8"/>
      <w:bookmarkStart w:id="1700" w:name="Tc_wQHk_svOTEOEGAezkJUXEw_4_6"/>
      <w:bookmarkStart w:id="1701" w:name="Tc__JxicZKpk0Spm4aEP6SxuA_4_5"/>
      <w:bookmarkStart w:id="1702" w:name="Tc_7938hSgrgkqKS6jt864wRw_4_2"/>
      <w:bookmarkStart w:id="1703" w:name="Tc_MG13byf4TkKAHdBq_WgSEg_4_0"/>
      <w:bookmarkStart w:id="1704" w:name="Tc_pDCYHNrt5kOZpP6hk6haoQ_3_0"/>
      <w:bookmarkStart w:id="1705" w:name="Tc_iGK7GNsnD0q_8wf9o0kVVA_2_8"/>
      <w:bookmarkStart w:id="1706" w:name="Tc__ZLvDSxc-Uu_5oIbj7FyKA_2_5"/>
      <w:bookmarkStart w:id="1707" w:name="Tc_Rk7UW_BXW06luxhMo5VdMA_2_2"/>
      <w:bookmarkStart w:id="1708" w:name="Tc_GxDQvW9pEU2LcAbgOpZNAw_1_8"/>
      <w:bookmarkStart w:id="1709" w:name="Tc_iCnZXEkVwU6BVipxE6z7yA_1_5"/>
      <w:bookmarkStart w:id="1710" w:name="Tc_8J0jHL-2skiEeu5m7Vz_eA_1_2"/>
      <w:bookmarkStart w:id="1711" w:name="_4695e14d_a3da_47b5_ba7f_6e49d0d1a76b"/>
      <w:bookmarkStart w:id="1712" w:name="Tc_6bBfre_XlUWrlDLlOoNGUA_6_8"/>
      <w:bookmarkStart w:id="1713" w:name="Tc_xM1qW3bfvkCrwa1lGmmNLg_6_6"/>
      <w:bookmarkStart w:id="1714" w:name="Tc_UoRgNJPwwUydiTcLEjrGFw_6_5"/>
      <w:bookmarkStart w:id="1715" w:name="Tc_F_IhE2-R10yy8cELkUkhqg_6_2"/>
      <w:bookmarkStart w:id="1716" w:name="Tc_E8oDVg82B0CGqLVwsUWBEQ_6_0"/>
      <w:bookmarkStart w:id="1717" w:name="Tc_66WHRHCWkkK8WFZccobgmg_5_6"/>
      <w:bookmarkStart w:id="1718" w:name="Tc_kp47wbb0eEe-tX2zdB4yxg_5_0"/>
      <w:bookmarkStart w:id="1719" w:name="Tc_4-vyIYX2M0O6hnYZpiz96w_4_8"/>
      <w:bookmarkStart w:id="1720" w:name="Tc_18PgkMRUDEO67m6KgW9_RA_4_6"/>
      <w:bookmarkStart w:id="1721" w:name="Tc_kz9J5m_OZEiB-StDcCZfNg_4_5"/>
      <w:bookmarkStart w:id="1722" w:name="Tc_a1teqRDsEU26OcF3TdnQog_4_2"/>
      <w:bookmarkStart w:id="1723" w:name="Tc_I1Fhv4jwR0yLOy-NOKFHMw_4_0"/>
      <w:bookmarkStart w:id="1724" w:name="Tc_zR3qXeHcYEi4R2gdqCC-_g_3_0"/>
      <w:bookmarkStart w:id="1725" w:name="Tc_kOe427ThhUiVwKOLTojEpw_2_8"/>
      <w:bookmarkStart w:id="1726" w:name="Tc_ulid3B5O20y8cY_CC0brRw_2_5"/>
      <w:bookmarkStart w:id="1727" w:name="Tc_HwGzvjq0v0O9ZR6XhKov4w_2_2"/>
      <w:bookmarkStart w:id="1728" w:name="Tc_KQ9C1JbeBki-ntnS_1fhkA_1_8"/>
      <w:bookmarkStart w:id="1729" w:name="Tc_er3mpP2Ko0iC0_AaicpFHw_1_5"/>
      <w:bookmarkStart w:id="1730" w:name="Tc_3xilBky1vkWd7671c20UoA_1_2"/>
      <w:bookmarkStart w:id="1731" w:name="_6c078e2c_e5fd_408b_a881_f6eeeff310b5"/>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r>
        <w:rPr>
          <w:rFonts w:ascii="Times New Roman;Times;serif" w:hAnsi="Times New Roman;Times;serif"/>
          <w:b/>
          <w:sz w:val="20"/>
        </w:rPr>
        <w:t xml:space="preserve">Note 13 – Other Comprehensive Income and Changes in Accumulated Other Comprehensive Loss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effects allocated to each component of other comprehensive income are the following:</w:t>
      </w:r>
    </w:p>
    <w:p>
      <w:pPr>
        <w:pStyle w:val="TextBody"/>
        <w:bidi w:val="0"/>
        <w:spacing w:before="0" w:after="0"/>
        <w:ind w:left="0" w:right="0" w:hanging="0"/>
        <w:jc w:val="left"/>
        <w:rPr/>
      </w:pPr>
      <w:r>
        <w:rPr/>
        <w:t>​</w:t>
      </w:r>
    </w:p>
    <w:tbl>
      <w:tblPr>
        <w:tblW w:w="7701" w:type="dxa"/>
        <w:jc w:val="left"/>
        <w:tblInd w:w="0" w:type="dxa"/>
        <w:tblLayout w:type="fixed"/>
        <w:tblCellMar>
          <w:top w:w="0" w:type="dxa"/>
          <w:left w:w="0" w:type="dxa"/>
          <w:bottom w:w="0" w:type="dxa"/>
          <w:right w:w="0" w:type="dxa"/>
        </w:tblCellMar>
      </w:tblPr>
      <w:tblGrid>
        <w:gridCol w:w="3436"/>
        <w:gridCol w:w="346"/>
        <w:gridCol w:w="255"/>
        <w:gridCol w:w="766"/>
        <w:gridCol w:w="346"/>
        <w:gridCol w:w="431"/>
        <w:gridCol w:w="709"/>
        <w:gridCol w:w="346"/>
        <w:gridCol w:w="253"/>
        <w:gridCol w:w="813"/>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81860" cy="175260"/>
                      <wp:effectExtent l="0" t="0" r="0" b="0"/>
                      <wp:wrapNone/>
                      <wp:docPr id="287" name="Frame28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61925" cy="175260"/>
                      <wp:effectExtent l="0" t="0" r="0" b="0"/>
                      <wp:wrapNone/>
                      <wp:docPr id="289" name="Frame28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86410" cy="175260"/>
                      <wp:effectExtent l="0" t="0" r="0" b="0"/>
                      <wp:wrapNone/>
                      <wp:docPr id="290" name="Frame29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73685" cy="175260"/>
                      <wp:effectExtent l="0" t="0" r="0" b="0"/>
                      <wp:wrapNone/>
                      <wp:docPr id="292" name="Frame292"/>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50215" cy="175260"/>
                      <wp:effectExtent l="0" t="0" r="0" b="0"/>
                      <wp:wrapNone/>
                      <wp:docPr id="293" name="Frame29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60655" cy="175260"/>
                      <wp:effectExtent l="0" t="0" r="0" b="0"/>
                      <wp:wrapNone/>
                      <wp:docPr id="295" name="Frame29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16255" cy="175260"/>
                      <wp:effectExtent l="0" t="0" r="0" b="0"/>
                      <wp:wrapNone/>
                      <wp:docPr id="296" name="Frame29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or Benefit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center"/>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w:t>
            </w:r>
          </w:p>
        </w:tc>
        <w:tc>
          <w:tcPr>
            <w:tcW w:w="3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 </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46" w:type="dxa"/>
            <w:tcBorders/>
            <w:vAlign w:val="center"/>
          </w:tcPr>
          <w:p>
            <w:pPr>
              <w:pStyle w:val="TableContents"/>
              <w:bidi w:val="0"/>
              <w:spacing w:before="0" w:after="0"/>
              <w:ind w:left="0" w:right="0" w:hanging="0"/>
              <w:jc w:val="left"/>
              <w:rPr/>
            </w:pPr>
            <w:r>
              <w:rPr/>
              <w:t>​</w:t>
            </w:r>
          </w:p>
        </w:tc>
        <w:tc>
          <w:tcPr>
            <w:tcW w:w="4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bl>
    <w:p>
      <w:pPr>
        <w:pStyle w:val="TextBody"/>
        <w:bidi w:val="0"/>
        <w:spacing w:before="0" w:after="0"/>
        <w:ind w:left="0" w:right="0" w:hanging="0"/>
        <w:jc w:val="left"/>
        <w:rPr/>
      </w:pPr>
      <w:r>
        <w:rPr/>
        <w:t>​</w:t>
      </w:r>
    </w:p>
    <w:tbl>
      <w:tblPr>
        <w:tblW w:w="7746" w:type="dxa"/>
        <w:jc w:val="left"/>
        <w:tblInd w:w="0" w:type="dxa"/>
        <w:tblLayout w:type="fixed"/>
        <w:tblCellMar>
          <w:top w:w="0" w:type="dxa"/>
          <w:left w:w="0" w:type="dxa"/>
          <w:bottom w:w="0" w:type="dxa"/>
          <w:right w:w="0" w:type="dxa"/>
        </w:tblCellMar>
      </w:tblPr>
      <w:tblGrid>
        <w:gridCol w:w="3436"/>
        <w:gridCol w:w="346"/>
        <w:gridCol w:w="275"/>
        <w:gridCol w:w="746"/>
        <w:gridCol w:w="346"/>
        <w:gridCol w:w="448"/>
        <w:gridCol w:w="737"/>
        <w:gridCol w:w="346"/>
        <w:gridCol w:w="250"/>
        <w:gridCol w:w="81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81860" cy="175260"/>
                      <wp:effectExtent l="0" t="0" r="0" b="0"/>
                      <wp:wrapNone/>
                      <wp:docPr id="297" name="Frame29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74625" cy="175260"/>
                      <wp:effectExtent l="0" t="0" r="0" b="0"/>
                      <wp:wrapNone/>
                      <wp:docPr id="299" name="Frame29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73710" cy="175260"/>
                      <wp:effectExtent l="0" t="0" r="0" b="0"/>
                      <wp:wrapNone/>
                      <wp:docPr id="300" name="Frame300"/>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84480" cy="175260"/>
                      <wp:effectExtent l="0" t="0" r="0" b="0"/>
                      <wp:wrapNone/>
                      <wp:docPr id="302" name="Frame302"/>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67995" cy="175260"/>
                      <wp:effectExtent l="0" t="0" r="0" b="0"/>
                      <wp:wrapNone/>
                      <wp:docPr id="303" name="Frame303"/>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58750" cy="175260"/>
                      <wp:effectExtent l="0" t="0" r="0" b="0"/>
                      <wp:wrapNone/>
                      <wp:docPr id="305" name="Frame30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18160" cy="175260"/>
                      <wp:effectExtent l="0" t="0" r="0" b="0"/>
                      <wp:wrapNone/>
                      <wp:docPr id="306" name="Frame306"/>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(Expense) </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Benefit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center"/>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c>
          <w:tcPr>
            <w:tcW w:w="346"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liability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346" w:type="dxa"/>
            <w:tcBorders/>
            <w:shd w:fill="CCEEFF" w:val="cle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8,680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loss consist of the following:</w:t>
      </w:r>
    </w:p>
    <w:p>
      <w:pPr>
        <w:pStyle w:val="TextBody"/>
        <w:bidi w:val="0"/>
        <w:spacing w:before="0" w:after="0"/>
        <w:ind w:left="0" w:right="0" w:hanging="0"/>
        <w:jc w:val="left"/>
        <w:rPr/>
      </w:pPr>
      <w:r>
        <w:rPr/>
        <w:t>​</w:t>
      </w:r>
    </w:p>
    <w:tbl>
      <w:tblPr>
        <w:tblW w:w="8048" w:type="dxa"/>
        <w:jc w:val="left"/>
        <w:tblInd w:w="0" w:type="dxa"/>
        <w:tblLayout w:type="fixed"/>
        <w:tblCellMar>
          <w:top w:w="0" w:type="dxa"/>
          <w:left w:w="0" w:type="dxa"/>
          <w:bottom w:w="0" w:type="dxa"/>
          <w:right w:w="0" w:type="dxa"/>
        </w:tblCellMar>
      </w:tblPr>
      <w:tblGrid>
        <w:gridCol w:w="3526"/>
        <w:gridCol w:w="346"/>
        <w:gridCol w:w="298"/>
        <w:gridCol w:w="1127"/>
        <w:gridCol w:w="346"/>
        <w:gridCol w:w="211"/>
        <w:gridCol w:w="796"/>
        <w:gridCol w:w="346"/>
        <w:gridCol w:w="211"/>
        <w:gridCol w:w="84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39010" cy="175260"/>
                      <wp:effectExtent l="0" t="0" r="0" b="0"/>
                      <wp:wrapNone/>
                      <wp:docPr id="307" name="Frame307"/>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9230" cy="175260"/>
                      <wp:effectExtent l="0" t="0" r="0" b="0"/>
                      <wp:wrapNone/>
                      <wp:docPr id="309" name="Frame30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15645" cy="175260"/>
                      <wp:effectExtent l="0" t="0" r="0" b="0"/>
                      <wp:wrapNone/>
                      <wp:docPr id="310" name="Frame310"/>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05460" cy="175260"/>
                      <wp:effectExtent l="0" t="0" r="0" b="0"/>
                      <wp:wrapNone/>
                      <wp:docPr id="313" name="Frame3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34035" cy="175260"/>
                      <wp:effectExtent l="0" t="0" r="0" b="0"/>
                      <wp:wrapNone/>
                      <wp:docPr id="316" name="Frame3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Accrued </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Translation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 Benefits</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(65,386)</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  ​</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11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 from accumulated other</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  ​</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to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(63,130)</w:t>
            </w:r>
          </w:p>
        </w:tc>
      </w:tr>
      <w:tr>
        <w:trPr/>
        <w:tc>
          <w:tcPr>
            <w:tcW w:w="3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 from accumulated other</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to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(56,706)</w:t>
            </w:r>
          </w:p>
        </w:tc>
      </w:tr>
    </w:tbl>
    <w:p>
      <w:pPr>
        <w:pStyle w:val="TextBody"/>
        <w:bidi w:val="0"/>
        <w:spacing w:before="0" w:after="0"/>
        <w:ind w:left="0" w:right="0" w:hanging="0"/>
        <w:jc w:val="left"/>
        <w:rPr/>
      </w:pPr>
      <w:r>
        <w:rPr/>
        <w:t>​</w:t>
      </w:r>
    </w:p>
    <w:tbl>
      <w:tblPr>
        <w:tblW w:w="8049" w:type="dxa"/>
        <w:jc w:val="left"/>
        <w:tblInd w:w="0" w:type="dxa"/>
        <w:tblLayout w:type="fixed"/>
        <w:tblCellMar>
          <w:top w:w="0" w:type="dxa"/>
          <w:left w:w="0" w:type="dxa"/>
          <w:bottom w:w="0" w:type="dxa"/>
          <w:right w:w="0" w:type="dxa"/>
        </w:tblCellMar>
      </w:tblPr>
      <w:tblGrid>
        <w:gridCol w:w="3526"/>
        <w:gridCol w:w="346"/>
        <w:gridCol w:w="317"/>
        <w:gridCol w:w="1109"/>
        <w:gridCol w:w="346"/>
        <w:gridCol w:w="211"/>
        <w:gridCol w:w="796"/>
        <w:gridCol w:w="346"/>
        <w:gridCol w:w="211"/>
        <w:gridCol w:w="84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239010" cy="175260"/>
                      <wp:effectExtent l="0" t="0" r="0" b="0"/>
                      <wp:wrapNone/>
                      <wp:docPr id="317" name="Frame317"/>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1295" cy="175260"/>
                      <wp:effectExtent l="0" t="0" r="0" b="0"/>
                      <wp:wrapNone/>
                      <wp:docPr id="319" name="Frame31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04215" cy="175260"/>
                      <wp:effectExtent l="0" t="0" r="0" b="0"/>
                      <wp:wrapNone/>
                      <wp:docPr id="320" name="Frame320"/>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5460" cy="175260"/>
                      <wp:effectExtent l="0" t="0" r="0" b="0"/>
                      <wp:wrapNone/>
                      <wp:docPr id="323" name="Frame3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34035" cy="175260"/>
                      <wp:effectExtent l="0" t="0" r="0" b="0"/>
                      <wp:wrapNone/>
                      <wp:docPr id="326" name="Frame32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Accrued </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 Benefits</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(55,361)</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w:t>
            </w:r>
          </w:p>
        </w:tc>
        <w:tc>
          <w:tcPr>
            <w:tcW w:w="346" w:type="dxa"/>
            <w:tcBorders/>
            <w:shd w:fill="CCEEFF" w:val="clear"/>
            <w:vAlign w:val="center"/>
          </w:tcPr>
          <w:p>
            <w:pPr>
              <w:pStyle w:val="TableContents"/>
              <w:bidi w:val="0"/>
              <w:spacing w:before="0" w:after="0"/>
              <w:ind w:left="0" w:right="0" w:hanging="0"/>
              <w:jc w:val="left"/>
              <w:rPr/>
            </w:pPr>
            <w:r>
              <w:rPr/>
              <w:t> </w:t>
            </w:r>
          </w:p>
        </w:tc>
        <w:tc>
          <w:tcPr>
            <w:tcW w:w="317"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 from accumulated other</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to earnings</w:t>
            </w:r>
          </w:p>
        </w:tc>
        <w:tc>
          <w:tcPr>
            <w:tcW w:w="346" w:type="dxa"/>
            <w:tcBorders/>
            <w:shd w:fill="CCEEFF" w:val="clear"/>
            <w:vAlign w:val="center"/>
          </w:tcPr>
          <w:p>
            <w:pPr>
              <w:pStyle w:val="TableContents"/>
              <w:bidi w:val="0"/>
              <w:spacing w:before="0" w:after="0"/>
              <w:ind w:left="0" w:right="0" w:hanging="0"/>
              <w:jc w:val="left"/>
              <w:rPr/>
            </w:pPr>
            <w:r>
              <w:rPr/>
              <w:t> </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(57,331)</w:t>
            </w:r>
          </w:p>
        </w:tc>
      </w:tr>
      <w:tr>
        <w:trPr/>
        <w:tc>
          <w:tcPr>
            <w:tcW w:w="3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from accumulated other </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to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2" w:name="Tc_mofQ8bsFgUy7RAu9H1y4Jw_18_11"/>
      <w:bookmarkStart w:id="1733" w:name="Tc_wEVcOWOhDkGBtbGhzx3YeQ_18_8"/>
      <w:bookmarkStart w:id="1734" w:name="Tc_TgarjOzq6ky8EqaaculcTg_18_5"/>
      <w:bookmarkStart w:id="1735" w:name="Tc_2YgEukfZ_kmoWFNlR6IHew_18_2"/>
      <w:bookmarkStart w:id="1736" w:name="Tc_g_Jp5q3WtUua0dcgEfkVxw_18_0"/>
      <w:bookmarkStart w:id="1737" w:name="Tc_Q4GhHEEA20KsJ_Mv2C5QyA_16_12"/>
      <w:bookmarkStart w:id="1738" w:name="Tc_tkdxbInsK0OHC7q79u4ZtQ_16_9"/>
      <w:bookmarkStart w:id="1739" w:name="Tc_biUAPh-bBU-paFn-5sKNCw_16_6"/>
      <w:bookmarkStart w:id="1740" w:name="Tc_pVBcv3wOzUqI3CHeee4KCg_16_3"/>
      <w:bookmarkStart w:id="1741" w:name="Tc_aCyCoUXwkE-B2BPlVP-3Kg_16_0"/>
      <w:bookmarkStart w:id="1742" w:name="Tc_HZKg_4sr4UG7KNFo7wZDzA_14_0"/>
      <w:bookmarkStart w:id="1743" w:name="Tc_EKbpbJg870GiElLDtbT5sQ_13_0"/>
      <w:bookmarkStart w:id="1744" w:name="Tc_M2cJrE5ow0WxLGdnSlNkUA_11_0"/>
      <w:bookmarkStart w:id="1745" w:name="Tc__dsw2DIMV0y1YjCBqiaaqg_9_12"/>
      <w:bookmarkStart w:id="1746" w:name="Tc_nHpQ9T0cVEmMN73QzBLnIQ_9_9"/>
      <w:bookmarkStart w:id="1747" w:name="Tc_EvZwzpMLNEqua9dpMqgPKQ_9_6"/>
      <w:bookmarkStart w:id="1748" w:name="Tc_7DLklo3A_0e6-SXMdQBimw_9_3"/>
      <w:bookmarkStart w:id="1749" w:name="Tc_VUyzcShhj0WSWKkvFAdlBA_9_0"/>
      <w:bookmarkStart w:id="1750" w:name="Tc_KLuZa_G-CkWpUZ4A1q8nyQ_8_0"/>
      <w:bookmarkStart w:id="1751" w:name="Tc_UBuncijMmkujl9aFWsgQqg_6_0"/>
      <w:bookmarkStart w:id="1752" w:name="Tc_87Fg5OmJwEaEdnFO1ZWHLQ_5_0"/>
      <w:bookmarkStart w:id="1753" w:name="Tc_qkAaHXAMZ0eS-bCLCkLDww_4_11"/>
      <w:bookmarkStart w:id="1754" w:name="Tc_bZQsvHJViE67pomzfD5clA_4_8"/>
      <w:bookmarkStart w:id="1755" w:name="Tc_ZmeOWs1O6U2MWrkGyxd6MA_4_5"/>
      <w:bookmarkStart w:id="1756" w:name="Tc_EL12FpVP0E2fR0h0a_UYzQ_4_2"/>
      <w:bookmarkStart w:id="1757" w:name="Tc_hIAScAnJYU6guNy505J92A_4_0"/>
      <w:bookmarkStart w:id="1758" w:name="Tc_AAQbpBdmGkunQCVDNrsG6w_3_11"/>
      <w:bookmarkStart w:id="1759" w:name="Tc_pQTo0DYAg0a9KodQKwofEA_3_8"/>
      <w:bookmarkStart w:id="1760" w:name="Tc_kx9cTarXl0Wyp7SQs4GWZg_3_5"/>
      <w:bookmarkStart w:id="1761" w:name="Tc_sZfpXU7CH0yPOYdOEn79og_3_2"/>
      <w:bookmarkStart w:id="1762" w:name="Tc_rKpw6FGUxUekE1q9oO86jg_2_11"/>
      <w:bookmarkStart w:id="1763" w:name="Tc_KNqmARoEv0SYAuBl6r2quA_2_8"/>
      <w:bookmarkStart w:id="1764" w:name="Tc_-9AVovgFEEO9Dj1Fwbbt7Q_2_5"/>
      <w:bookmarkStart w:id="1765" w:name="Tc_v-maGjKPWUal1u7vKYaA0g_2_2"/>
      <w:bookmarkStart w:id="1766" w:name="Tc_deR34hLGNUml4z4z4oBqgQ_1_11"/>
      <w:bookmarkStart w:id="1767" w:name="Tc_Y6iZURJfaEKgRepU46GmkQ_1_8"/>
      <w:bookmarkStart w:id="1768" w:name="Tc_sBdYb0fy3Eu-g36VpXtPng_1_5"/>
      <w:bookmarkStart w:id="1769" w:name="Tc_tFT9joy8Ok-_6uxtczEzfQ_1_2"/>
      <w:bookmarkStart w:id="1770" w:name="Tc_hLqn_JHzO0CrN8FC0Ui7lg_22_5"/>
      <w:bookmarkStart w:id="1771" w:name="Tc_a_ri0jDryEue9OF96II6iQ_22_2"/>
      <w:bookmarkStart w:id="1772" w:name="Tc_M96MvW1B1Uu9vflGvUOy3g_22_0"/>
      <w:bookmarkStart w:id="1773" w:name="Tc_iNbJIeaYRkS5zIk0JpGZDA_21_0"/>
      <w:bookmarkStart w:id="1774" w:name="Tc_oc9YUhpQcUWiA5QfN4I0Eg_20_0"/>
      <w:bookmarkStart w:id="1775" w:name="Tc_gwRAagX5LkKu6CKt23VTrA_19_0"/>
      <w:bookmarkStart w:id="1776" w:name="Tc_vj9yYFVvFE299L6XHNpZkA_17_0"/>
      <w:bookmarkStart w:id="1777" w:name="Tc_5ZOxnoa3Z02HYuor6MhJ0Q_16_0"/>
      <w:bookmarkStart w:id="1778" w:name="Tc_qQU8ycTrJEeXM6bf41YcUA_15_0"/>
      <w:bookmarkStart w:id="1779" w:name="Tc_Nhk2WCsc7UGliMbaaXcBgg_14_5"/>
      <w:bookmarkStart w:id="1780" w:name="Tc_6T7QwyDRc0avdmJ8nmmUCw_14_2"/>
      <w:bookmarkStart w:id="1781" w:name="Tc_fjyXvMMTtU2Mc_h6uSexBg_14_0"/>
      <w:bookmarkStart w:id="1782" w:name="Tc_8Xag2KAqhkyDgLBe-S0c5g_13_0"/>
      <w:bookmarkStart w:id="1783" w:name="Tc_M7jow8HOR0GMLme715Qlkw_11_0"/>
      <w:bookmarkStart w:id="1784" w:name="Tc_EZA4Pp6IhEyfMOljL7EVXw_10_0"/>
      <w:bookmarkStart w:id="1785" w:name="Tc_7Muw6M_tnUWbi0w1fKCueQ_9_0"/>
      <w:bookmarkStart w:id="1786" w:name="Tc_80basYzyhEG578VU4b16Cg_7_0"/>
      <w:bookmarkStart w:id="1787" w:name="Tc_k3Vi4oWx2E2R2ULsbGkVyw_6_0"/>
      <w:bookmarkStart w:id="1788" w:name="Tc_GcSFo4-foUSd5u8r-6Oz4A_5_0"/>
      <w:bookmarkStart w:id="1789" w:name="Tc_rsT8BhzzHEmA-w9cADP8tw_4_5"/>
      <w:bookmarkStart w:id="1790" w:name="Tc_957FTFv8XUWfDheAAhf9sQ_4_2"/>
      <w:bookmarkStart w:id="1791" w:name="Tc_orumJJ-wbUC1cTuK2XnUMA_4_0"/>
      <w:bookmarkStart w:id="1792" w:name="Tc_pfEkCT9wjkOTOFJ-IZU5Hw_3_0"/>
      <w:bookmarkStart w:id="1793" w:name="Tc__l2cKcwW7keqiypudvW7Gw_2_0"/>
      <w:bookmarkStart w:id="1794" w:name="Tc_AK7sYH1c5UOO9cDLw27Rrg_1_5"/>
      <w:bookmarkStart w:id="1795" w:name="Tc_CJnQpug_B0OwBy9-TLQs7Q_1_2"/>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r>
        <w:rPr>
          <w:rFonts w:ascii="Times New Roman;Times;serif" w:hAnsi="Times New Roman;Times;serif"/>
          <w:b/>
          <w:sz w:val="20"/>
        </w:rPr>
        <w:t>Note 14 – Variable Interest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holds a variable interest in a joint venture for which the Company is the primary beneficiary, the joint venture, VE Netting, LLC.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carrying amount of the VIEs’ assets and liabilities included in the Company’s Consolidated Balance Sheets as of June 30, 2026 and December 31, 2025:</w:t>
      </w:r>
    </w:p>
    <w:p>
      <w:pPr>
        <w:pStyle w:val="TextBody"/>
        <w:bidi w:val="0"/>
        <w:spacing w:before="0" w:after="0"/>
        <w:ind w:left="0" w:right="0" w:hanging="0"/>
        <w:jc w:val="left"/>
        <w:rPr/>
      </w:pPr>
      <w:r>
        <w:rPr/>
        <w:t>​</w:t>
      </w:r>
    </w:p>
    <w:tbl>
      <w:tblPr>
        <w:tblW w:w="7399" w:type="dxa"/>
        <w:jc w:val="left"/>
        <w:tblInd w:w="0" w:type="dxa"/>
        <w:tblLayout w:type="fixed"/>
        <w:tblCellMar>
          <w:top w:w="0" w:type="dxa"/>
          <w:left w:w="0" w:type="dxa"/>
          <w:bottom w:w="0" w:type="dxa"/>
          <w:right w:w="0" w:type="dxa"/>
        </w:tblCellMar>
      </w:tblPr>
      <w:tblGrid>
        <w:gridCol w:w="4036"/>
        <w:gridCol w:w="346"/>
        <w:gridCol w:w="263"/>
        <w:gridCol w:w="862"/>
        <w:gridCol w:w="346"/>
        <w:gridCol w:w="367"/>
        <w:gridCol w:w="1179"/>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562860" cy="175260"/>
                      <wp:effectExtent l="0" t="0" r="0" b="0"/>
                      <wp:wrapNone/>
                      <wp:docPr id="327" name="Frame32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7005" cy="175260"/>
                      <wp:effectExtent l="0" t="0" r="0" b="0"/>
                      <wp:wrapNone/>
                      <wp:docPr id="329" name="Frame32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47370" cy="175260"/>
                      <wp:effectExtent l="0" t="0" r="0" b="0"/>
                      <wp:wrapNone/>
                      <wp:docPr id="330" name="Frame33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3045" cy="175260"/>
                      <wp:effectExtent l="0" t="0" r="0" b="0"/>
                      <wp:wrapNone/>
                      <wp:docPr id="332" name="Frame33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48665" cy="175260"/>
                      <wp:effectExtent l="0" t="0" r="0" b="0"/>
                      <wp:wrapNone/>
                      <wp:docPr id="333" name="Frame33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net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equipment,net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pPr>
            <w:r>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Liabilites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Paid in capital</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 Equity</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assets in the above table can only be used to settle obligations of the consolidated VIE. Liabilities are nonrecourse obligations. Amounts presented in the table above are adjusted for intercompany eliminations.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summarizes the Statement of Operations of the VIE included in the Company’s Consolidated Statement of Operations for the six months ended June 30, 2026 and June 30, 2025: </w:t>
      </w:r>
    </w:p>
    <w:p>
      <w:pPr>
        <w:pStyle w:val="TextBody"/>
        <w:bidi w:val="0"/>
        <w:spacing w:before="0" w:after="0"/>
        <w:ind w:left="0" w:right="0" w:hanging="0"/>
        <w:jc w:val="left"/>
        <w:rPr/>
      </w:pPr>
      <w:r>
        <w:rPr/>
        <w:t>​</w:t>
      </w:r>
    </w:p>
    <w:tbl>
      <w:tblPr>
        <w:tblW w:w="8825" w:type="dxa"/>
        <w:jc w:val="left"/>
        <w:tblInd w:w="0" w:type="dxa"/>
        <w:tblLayout w:type="fixed"/>
        <w:tblCellMar>
          <w:top w:w="0" w:type="dxa"/>
          <w:left w:w="0" w:type="dxa"/>
          <w:bottom w:w="0" w:type="dxa"/>
          <w:right w:w="0" w:type="dxa"/>
        </w:tblCellMar>
      </w:tblPr>
      <w:tblGrid>
        <w:gridCol w:w="2956"/>
        <w:gridCol w:w="286"/>
        <w:gridCol w:w="374"/>
        <w:gridCol w:w="751"/>
        <w:gridCol w:w="346"/>
        <w:gridCol w:w="374"/>
        <w:gridCol w:w="751"/>
        <w:gridCol w:w="346"/>
        <w:gridCol w:w="342"/>
        <w:gridCol w:w="783"/>
        <w:gridCol w:w="346"/>
        <w:gridCol w:w="364"/>
        <w:gridCol w:w="80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877060" cy="175260"/>
                      <wp:effectExtent l="0" t="0" r="0" b="0"/>
                      <wp:wrapNone/>
                      <wp:docPr id="334" name="Frame33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1610" cy="175260"/>
                      <wp:effectExtent l="0" t="0" r="0" b="0"/>
                      <wp:wrapNone/>
                      <wp:docPr id="335" name="Frame33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37490" cy="175260"/>
                      <wp:effectExtent l="0" t="0" r="0" b="0"/>
                      <wp:wrapNone/>
                      <wp:docPr id="336" name="Frame33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76885" cy="175260"/>
                      <wp:effectExtent l="0" t="0" r="0" b="0"/>
                      <wp:wrapNone/>
                      <wp:docPr id="337" name="Frame33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37490" cy="175260"/>
                      <wp:effectExtent l="0" t="0" r="0" b="0"/>
                      <wp:wrapNone/>
                      <wp:docPr id="339" name="Frame33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76885" cy="175260"/>
                      <wp:effectExtent l="0" t="0" r="0" b="0"/>
                      <wp:wrapNone/>
                      <wp:docPr id="340" name="Frame34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7170" cy="175260"/>
                      <wp:effectExtent l="0" t="0" r="0" b="0"/>
                      <wp:wrapNone/>
                      <wp:docPr id="342" name="Frame342"/>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97205" cy="175260"/>
                      <wp:effectExtent l="0" t="0" r="0" b="0"/>
                      <wp:wrapNone/>
                      <wp:docPr id="343" name="Frame34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31140" cy="175260"/>
                      <wp:effectExtent l="0" t="0" r="0" b="0"/>
                      <wp:wrapNone/>
                      <wp:docPr id="345" name="Frame34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11810" cy="175260"/>
                      <wp:effectExtent l="0" t="0" r="0" b="0"/>
                      <wp:wrapNone/>
                      <wp:docPr id="346" name="Frame346"/>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29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9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8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9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28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5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28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95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28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9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86" w:type="dxa"/>
            <w:tcBorders/>
            <w:shd w:fill="CCEEFF" w:val="clear"/>
            <w:vAlign w:val="center"/>
          </w:tcPr>
          <w:p>
            <w:pPr>
              <w:pStyle w:val="TableContents"/>
              <w:bidi w:val="0"/>
              <w:spacing w:before="0" w:after="0"/>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6" w:name="Tc_stKq9qLzkU-VDk9Mw6CcAw_14_11"/>
      <w:bookmarkStart w:id="1797" w:name="Tc_KlpM8sRhyEawYjVUoDEU_A_14_8"/>
      <w:bookmarkStart w:id="1798" w:name="Tc_5SNFQiG1ykaOUmcKHyiNbA_14_5"/>
      <w:bookmarkStart w:id="1799" w:name="Tc_GuA6Lb7brkqZpUWP7qoxpw_14_2"/>
      <w:bookmarkStart w:id="1800" w:name="Tc_j0Hpbz1CoUm8u166KJXgeQ_14_0"/>
      <w:bookmarkStart w:id="1801" w:name="Tc_HjsPth6oNEqZy5yIMsdztQ_13_0"/>
      <w:bookmarkStart w:id="1802" w:name="Tc_3gP5t2pvqUGEOu2xx1Qhuw_12_0"/>
      <w:bookmarkStart w:id="1803" w:name="Tc_bEXQNVQOlUaE1NSZoEQz-A_8_11"/>
      <w:bookmarkStart w:id="1804" w:name="Tc_eulSMNYRG0G8G9UvmLrIqA_8_8"/>
      <w:bookmarkStart w:id="1805" w:name="Tc_EwGZ_0xaGEGmdkOUyzKXRQ_8_5"/>
      <w:bookmarkStart w:id="1806" w:name="Tc_YtU2WSWoTkCGh-gsQTw9lQ_8_2"/>
      <w:bookmarkStart w:id="1807" w:name="Tc_eGLo5NlDJkufZ625sJDUEQ_8_0"/>
      <w:bookmarkStart w:id="1808" w:name="Tc_ITeOc3gdoEuKwDn73gOtYA_7_12"/>
      <w:bookmarkStart w:id="1809" w:name="Tc_HfUutdVlIkGThEz_uCyXJg_7_9"/>
      <w:bookmarkStart w:id="1810" w:name="Tc_eqi-PIVwjkqfOwmWhyAe9w_7_6"/>
      <w:bookmarkStart w:id="1811" w:name="Tc_bsVGMrHZwE-0h2_Xo4hfEA_7_3"/>
      <w:bookmarkStart w:id="1812" w:name="Tc_IGtGc1hnkUu3HACzj9Un5g_7_0"/>
      <w:bookmarkStart w:id="1813" w:name="Tc_VblVqL2FC0W5lE6FwH00HA_6_11"/>
      <w:bookmarkStart w:id="1814" w:name="Tc_atOz-MD5LkisQWH1uJLhFw_6_8"/>
      <w:bookmarkStart w:id="1815" w:name="Tc_x27kc2msO0ys5AQZIiyeRA_6_5"/>
      <w:bookmarkStart w:id="1816" w:name="Tc_FOLamsX7REqTbeCvP8ge-w_6_2"/>
      <w:bookmarkStart w:id="1817" w:name="Tc_OJBKDMpiJEOV5mLlwEOYWQ_6_0"/>
      <w:bookmarkStart w:id="1818" w:name="Tc_W0FVH8_pLkeb-FrZ7jmoQQ_5_6"/>
      <w:bookmarkStart w:id="1819" w:name="Tc_ykQdhI6qlEyns6-zMLPILQ_5_0"/>
      <w:bookmarkStart w:id="1820" w:name="Tc_PY3kD-yDcE2ofIMVR8Vekg_4_11"/>
      <w:bookmarkStart w:id="1821" w:name="Tc_iKSNqKIpgkaNa8dQqFFj2g_4_8"/>
      <w:bookmarkStart w:id="1822" w:name="Tc_S-jwdLRqMkuZBrlMKze1QQ_4_5"/>
      <w:bookmarkStart w:id="1823" w:name="Tc__42Q4D-nPEy6Lh87xrrBCQ_4_2"/>
      <w:bookmarkStart w:id="1824" w:name="Tc_pp4V7UoyBUqtPiHyXX0-9Q_4_0"/>
      <w:bookmarkStart w:id="1825" w:name="Tc_llbSvEHXhEu_MPoqeisCqw_3_0"/>
      <w:bookmarkStart w:id="1826" w:name="Tc_Rr-6FRZ6dkil5_o3P7u8bg_2_11"/>
      <w:bookmarkStart w:id="1827" w:name="Tc_mHLF9DdxOUWOzyLpeDgwsw_2_8"/>
      <w:bookmarkStart w:id="1828" w:name="Tc_nJc6XpEbt06t3GcIVI2n1Q_2_5"/>
      <w:bookmarkStart w:id="1829" w:name="Tc_SM8MpPTq_UmYQI9n1Wyt-A_2_2"/>
      <w:bookmarkStart w:id="1830" w:name="Tc_T-mTxcFevk6Mndg4huJD2Q_1_11"/>
      <w:bookmarkStart w:id="1831" w:name="Tc_E42SwAF8s0WbHBEePaGwUA_1_8"/>
      <w:bookmarkStart w:id="1832" w:name="Tc_JtSYK2Fv0Ei3_px3C8x1lQ_1_5"/>
      <w:bookmarkStart w:id="1833" w:name="Tc_U_WdpYD5VkOAsrgmWFesVA_1_2"/>
      <w:bookmarkStart w:id="1834" w:name="_02568467_a261_46ba_b085_54c40303d419"/>
      <w:bookmarkStart w:id="1835" w:name="_d843d631_f6ef_4007_812b_e1c4048b08ff"/>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r>
        <w:rPr>
          <w:rFonts w:ascii="Times New Roman;Times;serif" w:hAnsi="Times New Roman;Times;serif"/>
          <w:b/>
          <w:sz w:val="20"/>
        </w:rPr>
        <w:t>Note 15 – Net Earnings (Loss)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Basic and diluted net (loss) income per share attributable to common stockholders was calculated as follows (dollar amounts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98"/>
        <w:gridCol w:w="346"/>
        <w:gridCol w:w="230"/>
        <w:gridCol w:w="1132"/>
        <w:gridCol w:w="346"/>
        <w:gridCol w:w="238"/>
        <w:gridCol w:w="1053"/>
        <w:gridCol w:w="346"/>
        <w:gridCol w:w="238"/>
        <w:gridCol w:w="1173"/>
        <w:gridCol w:w="346"/>
        <w:gridCol w:w="258"/>
        <w:gridCol w:w="1201"/>
      </w:tblGrid>
      <w:tr>
        <w:trPr/>
        <w:tc>
          <w:tcPr>
            <w:tcW w:w="3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94230" cy="175260"/>
                      <wp:effectExtent l="0" t="0" r="0" b="0"/>
                      <wp:wrapNone/>
                      <wp:docPr id="347" name="Frame347"/>
                      <a:graphic xmlns:a="http://schemas.openxmlformats.org/drawingml/2006/main">
                        <a:graphicData uri="http://schemas.microsoft.com/office/word/2010/wordprocessingShape">
                          <wps:wsp>
                            <wps:cNvSpPr txBox="1"/>
                            <wps:spPr>
                              <a:xfrm>
                                <a:off x="0" y="0"/>
                                <a:ext cx="209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46050" cy="175260"/>
                      <wp:effectExtent l="0" t="0" r="0" b="0"/>
                      <wp:wrapNone/>
                      <wp:docPr id="349" name="Frame34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718820" cy="175260"/>
                      <wp:effectExtent l="0" t="0" r="0" b="0"/>
                      <wp:wrapNone/>
                      <wp:docPr id="350" name="Frame350"/>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1130" cy="175260"/>
                      <wp:effectExtent l="0" t="0" r="0" b="0"/>
                      <wp:wrapNone/>
                      <wp:docPr id="352" name="Frame35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68655" cy="175260"/>
                      <wp:effectExtent l="0" t="0" r="0" b="0"/>
                      <wp:wrapNone/>
                      <wp:docPr id="353" name="Frame353"/>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51130" cy="175260"/>
                      <wp:effectExtent l="0" t="0" r="0" b="0"/>
                      <wp:wrapNone/>
                      <wp:docPr id="355" name="Frame35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744855" cy="175260"/>
                      <wp:effectExtent l="0" t="0" r="0" b="0"/>
                      <wp:wrapNone/>
                      <wp:docPr id="356" name="Frame356"/>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63830" cy="175260"/>
                      <wp:effectExtent l="0" t="0" r="0" b="0"/>
                      <wp:wrapNone/>
                      <wp:docPr id="358" name="Frame35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62635" cy="175260"/>
                      <wp:effectExtent l="0" t="0" r="0" b="0"/>
                      <wp:wrapNone/>
                      <wp:docPr id="359" name="Frame35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left"/>
              <w:rPr/>
            </w:pPr>
            <w:r>
              <w:rPr/>
              <w:t>​</w:t>
            </w:r>
          </w:p>
        </w:tc>
        <w:tc>
          <w:tcPr>
            <w:tcW w:w="14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2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32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(20,258)</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(11,855)</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(33,852)</w:t>
            </w:r>
          </w:p>
        </w:tc>
      </w:tr>
      <w:tr>
        <w:trPr/>
        <w:tc>
          <w:tcPr>
            <w:tcW w:w="32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2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(11,751)</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(33,831)</w:t>
            </w:r>
          </w:p>
        </w:tc>
      </w:tr>
      <w:tr>
        <w:trPr/>
        <w:tc>
          <w:tcPr>
            <w:tcW w:w="32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Dividends on Series C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available to common stockholders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(11,751)</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(33,831)</w:t>
            </w:r>
          </w:p>
        </w:tc>
      </w:tr>
      <w:tr>
        <w:trPr/>
        <w:tc>
          <w:tcPr>
            <w:tcW w:w="32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3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32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32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 </w:t>
            </w:r>
          </w:p>
        </w:tc>
        <w:tc>
          <w:tcPr>
            <w:tcW w:w="117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32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stock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14,331,620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5,419,340</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11,149,115</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5,273,964</w:t>
            </w:r>
          </w:p>
        </w:tc>
      </w:tr>
      <w:tr>
        <w:trPr/>
        <w:tc>
          <w:tcPr>
            <w:tcW w:w="32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1836" w:name="Tc_v-KDu1VksUOiMVQivt_F2w_6_5"/>
      <w:bookmarkStart w:id="1837" w:name="Tc_ipWfvpvgskiK-dkw4mGpKA_6_3"/>
      <w:bookmarkStart w:id="1838" w:name="Tc_TmfZ6mV2NEaq9DVpqKwbiw_6_2"/>
      <w:bookmarkStart w:id="1839" w:name="Tc_KizcVybZ-UiLSNF6MKKFMA_6_0"/>
      <w:bookmarkStart w:id="1840" w:name="Tc_KbQSKcsv7EeuPi3Vxsm68Q_5_6"/>
      <w:bookmarkStart w:id="1841" w:name="Tc_AkbiYknE8kevXq1hb3I9oA_5_3"/>
      <w:bookmarkStart w:id="1842" w:name="Tc_sMS8Lt01j0yxwIZ9-SUx2A_5_0"/>
      <w:bookmarkStart w:id="1843" w:name="Tc_O_LT1Y1ij0ymm6RpouUOpw_4_0"/>
      <w:bookmarkStart w:id="1844" w:name="Tc_1Ev0FB4ve0WmVnbgTYp__w_3_0"/>
      <w:bookmarkStart w:id="1845" w:name="Tc_ws6_jS78t0GQ4ap5ZSU1Ag_2_6"/>
      <w:bookmarkStart w:id="1846" w:name="Tc_DHScDkZG6Uqau37RuVYUUQ_2_5"/>
      <w:bookmarkStart w:id="1847" w:name="Tc_sDbhWCI-c0WGBD9Ch4cXFw_2_2"/>
      <w:bookmarkStart w:id="1848" w:name="Tc_reGdDjUEMkSL8MgH2lv8Sw_2_0"/>
      <w:bookmarkStart w:id="1849" w:name="Tc_mw0d_ALFt0eCun0opdTwKw_1_5"/>
      <w:bookmarkStart w:id="1850" w:name="Tc_x1BhXE2FHk2q5pfR0iB3zA_1_2"/>
      <w:bookmarkStart w:id="1851" w:name="Tc_S7k6g4ntjEmQRbBDG0XQfw_1_0"/>
      <w:bookmarkStart w:id="1852" w:name="Tc_RIB_C35WtkGGLVBcmn-esg_5_11"/>
      <w:bookmarkStart w:id="1853" w:name="Tc_xGyHkqIrTUWFZPu7OEWY0A_5_8"/>
      <w:bookmarkStart w:id="1854" w:name="Tc_1ZmKxIX8WkCwVrtmfNzvTA_5_5"/>
      <w:bookmarkStart w:id="1855" w:name="Tc_SedZsnetl02fWbZU-2-9yw_5_2"/>
      <w:bookmarkStart w:id="1856" w:name="Tc_v7dCx6KLX0Ox7R7YlqbGRw_4_12"/>
      <w:bookmarkStart w:id="1857" w:name="Tc_0NWnh49d2UWnrA2SH7EaJQ_4_6"/>
      <w:bookmarkStart w:id="1858" w:name="Tc_DL5rOK6ZzUGGdxSwLE3GEw_4_0"/>
      <w:bookmarkStart w:id="1859" w:name="Tc_m5MLIU7hlkmsulq5zmb8TQ_3_11"/>
      <w:bookmarkStart w:id="1860" w:name="Tc_VOBg9qT_5EqR8wxVN8bzew_3_9"/>
      <w:bookmarkStart w:id="1861" w:name="Tc_06sTRi588UWtwGO-CZNdtw_3_8"/>
      <w:bookmarkStart w:id="1862" w:name="Tc_juEAkPqmUkqEEAk_GFOIpw_3_5"/>
      <w:bookmarkStart w:id="1863" w:name="Tc_WIwRajcA4kOj1_W1JM2bww_3_3"/>
      <w:bookmarkStart w:id="1864" w:name="Tc_nV9X2ApS9UCS_IQXCC0i1g_3_2"/>
      <w:bookmarkStart w:id="1865" w:name="Tc_yy5Wq2QRsUOII0gYpy07ig_3_0"/>
      <w:bookmarkStart w:id="1866" w:name="Tc_MX-uXdQlb0G9cmSb_qe82w_2_11"/>
      <w:bookmarkStart w:id="1867" w:name="Tc_6DEJlo-ZJECuIFUOT2BqKg_2_8"/>
      <w:bookmarkStart w:id="1868" w:name="Tc_UAedCeCiqUClZbQWW2cKeQ_2_5"/>
      <w:bookmarkStart w:id="1869" w:name="Tc_wfPQrXaEMkGsjfcV1R_QOw_2_2"/>
      <w:bookmarkStart w:id="1870" w:name="Tc_fgaHn5TIWEWyhbHCUzhHoQ_2_0"/>
      <w:bookmarkStart w:id="1871" w:name="Tc_RPiCU8K4mUm-1J_QH_jz_A_1_11"/>
      <w:bookmarkStart w:id="1872" w:name="Tc_npmaMISX3k2_K3zosKGK8A_1_8"/>
      <w:bookmarkStart w:id="1873" w:name="Tc_NO-Zeg4SkE6LA35ZwDUm_w_1_5"/>
      <w:bookmarkStart w:id="1874" w:name="Tc_mhQ-Ev-Vn0i3ul1Z_FRnqw_1_2"/>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r>
        <w:rPr>
          <w:rFonts w:ascii="Times New Roman;Times;serif" w:hAnsi="Times New Roman;Times;serif"/>
          <w:b/>
          <w:sz w:val="20"/>
        </w:rPr>
        <w:t>Note 16 – Restructuring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26, 2025, the Company announced that it would cease production at the Osceola, Arkansas facility effective May 31, 2025 (the “2025 Plant Closure Program”). In connection with the plant closure, 210 employees were separated under the separation plan resulting in severance of approximately $4,600 included in the restructuring and related costs for the year ended December 31, 2025. The plant closure resulted in an impairment of $9,600 related to the property, plant and equipment and $2,500 related to inventory which are recorded as Asset impairment charge in the condensed consolidated statement of operations for the three months ended March 31, 2025.</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Restructuring and related expense consists of the following in the condensed consolidated statements of operations for the three and six months ended June 30, 2026 and 2025, respectively:</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922"/>
        <w:gridCol w:w="346"/>
        <w:gridCol w:w="521"/>
        <w:gridCol w:w="1040"/>
        <w:gridCol w:w="346"/>
        <w:gridCol w:w="521"/>
        <w:gridCol w:w="1040"/>
        <w:gridCol w:w="346"/>
        <w:gridCol w:w="456"/>
        <w:gridCol w:w="910"/>
        <w:gridCol w:w="346"/>
        <w:gridCol w:w="331"/>
        <w:gridCol w:w="1080"/>
      </w:tblGrid>
      <w:tr>
        <w:trPr/>
        <w:tc>
          <w:tcPr>
            <w:tcW w:w="2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855470" cy="175260"/>
                      <wp:effectExtent l="0" t="0" r="0" b="0"/>
                      <wp:wrapNone/>
                      <wp:docPr id="360" name="Frame360"/>
                      <a:graphic xmlns:a="http://schemas.openxmlformats.org/drawingml/2006/main">
                        <a:graphicData uri="http://schemas.microsoft.com/office/word/2010/wordprocessingShape">
                          <wps:wsp>
                            <wps:cNvSpPr txBox="1"/>
                            <wps:spPr>
                              <a:xfrm>
                                <a:off x="0" y="0"/>
                                <a:ext cx="185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30835" cy="175260"/>
                      <wp:effectExtent l="0" t="0" r="0" b="0"/>
                      <wp:wrapNone/>
                      <wp:docPr id="362" name="Frame362"/>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60400" cy="175260"/>
                      <wp:effectExtent l="0" t="0" r="0" b="0"/>
                      <wp:wrapNone/>
                      <wp:docPr id="363" name="Frame363"/>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30835" cy="175260"/>
                      <wp:effectExtent l="0" t="0" r="0" b="0"/>
                      <wp:wrapNone/>
                      <wp:docPr id="365" name="Frame36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60400" cy="175260"/>
                      <wp:effectExtent l="0" t="0" r="0" b="0"/>
                      <wp:wrapNone/>
                      <wp:docPr id="366" name="Frame366"/>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89560" cy="175260"/>
                      <wp:effectExtent l="0" t="0" r="0" b="0"/>
                      <wp:wrapNone/>
                      <wp:docPr id="368" name="Frame368"/>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77850" cy="175260"/>
                      <wp:effectExtent l="0" t="0" r="0" b="0"/>
                      <wp:wrapNone/>
                      <wp:docPr id="369" name="Frame369"/>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0185" cy="175260"/>
                      <wp:effectExtent l="0" t="0" r="0" b="0"/>
                      <wp:wrapNone/>
                      <wp:docPr id="371" name="Frame37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85800" cy="175260"/>
                      <wp:effectExtent l="0" t="0" r="0" b="0"/>
                      <wp:wrapNone/>
                      <wp:docPr id="372" name="Frame372"/>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9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9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and other personnel costs</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29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and disposal costs and professional fees</w:t>
            </w:r>
          </w:p>
        </w:tc>
        <w:tc>
          <w:tcPr>
            <w:tcW w:w="346" w:type="dxa"/>
            <w:tcBorders/>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5,597</w:t>
            </w:r>
          </w:p>
        </w:tc>
      </w:tr>
    </w:tbl>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activities as of June 30, 2026 and December 31, 2025:</w:t>
      </w:r>
    </w:p>
    <w:p>
      <w:pPr>
        <w:pStyle w:val="TextBody"/>
        <w:bidi w:val="0"/>
        <w:spacing w:before="0" w:after="0"/>
        <w:ind w:left="0" w:right="0" w:firstLine="720"/>
        <w:jc w:val="both"/>
        <w:rPr/>
      </w:pPr>
      <w:r>
        <w:rPr/>
        <w:t>​</w:t>
      </w:r>
    </w:p>
    <w:tbl>
      <w:tblPr>
        <w:tblW w:w="5028" w:type="dxa"/>
        <w:jc w:val="left"/>
        <w:tblInd w:w="0" w:type="dxa"/>
        <w:tblLayout w:type="fixed"/>
        <w:tblCellMar>
          <w:top w:w="0" w:type="dxa"/>
          <w:left w:w="0" w:type="dxa"/>
          <w:bottom w:w="0" w:type="dxa"/>
          <w:right w:w="0" w:type="dxa"/>
        </w:tblCellMar>
      </w:tblPr>
      <w:tblGrid>
        <w:gridCol w:w="1666"/>
        <w:gridCol w:w="346"/>
        <w:gridCol w:w="315"/>
        <w:gridCol w:w="810"/>
        <w:gridCol w:w="346"/>
        <w:gridCol w:w="344"/>
        <w:gridCol w:w="120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057910" cy="175260"/>
                      <wp:effectExtent l="0" t="0" r="0" b="0"/>
                      <wp:wrapNone/>
                      <wp:docPr id="373" name="Frame37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0025" cy="175260"/>
                      <wp:effectExtent l="0" t="0" r="0" b="0"/>
                      <wp:wrapNone/>
                      <wp:docPr id="375" name="Frame37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14350" cy="175260"/>
                      <wp:effectExtent l="0" t="0" r="0" b="0"/>
                      <wp:wrapNone/>
                      <wp:docPr id="376" name="Frame37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8440" cy="175260"/>
                      <wp:effectExtent l="0" t="0" r="0" b="0"/>
                      <wp:wrapNone/>
                      <wp:docPr id="378" name="Frame378"/>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62635" cy="175260"/>
                      <wp:effectExtent l="0" t="0" r="0" b="0"/>
                      <wp:wrapNone/>
                      <wp:docPr id="379" name="Frame37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153</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continue to review our global businesses and may take additional restructuring actions where a path to sustained profitability is not feasible when considering the capital allocation required for those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75" w:name="Tc_gWPAfG9diUOJlFjHUQjHnA_11_11"/>
      <w:bookmarkStart w:id="1876" w:name="Tc_PZN7pXzfxk-d_Cd-dwj-cw_11_8"/>
      <w:bookmarkStart w:id="1877" w:name="Tc__HqpRydAL0Ghtvw_oIxBWA_11_5"/>
      <w:bookmarkStart w:id="1878" w:name="Tc_kG6jicZ9TEy93Svb8KbvDw_11_2"/>
      <w:bookmarkStart w:id="1879" w:name="Tc_S8IirhvpokS-_zvDwVNhrg_11_0"/>
      <w:bookmarkStart w:id="1880" w:name="Tc_vHRshMrReUWgBwNhNbxjiA_10_0"/>
      <w:bookmarkStart w:id="1881" w:name="Tc_ALkg6YnW7UiYbjz2EO_nNA_9_0"/>
      <w:bookmarkStart w:id="1882" w:name="Tc_z5eRcMJw1kikFJE7nw1LcA_8_0"/>
      <w:bookmarkStart w:id="1883" w:name="Tc_qBvyzW4qB0KhXsQu3lsd7w_7_0"/>
      <w:bookmarkStart w:id="1884" w:name="Tc_84qlpL9biEiaC5Z53CFgow_6_0"/>
      <w:bookmarkStart w:id="1885" w:name="Tc_OIcTQxKvYUuaN6ycdKX04A_5_11"/>
      <w:bookmarkStart w:id="1886" w:name="Tc_-L9gaENlB0O1vsYojMAbgQ_5_8"/>
      <w:bookmarkStart w:id="1887" w:name="Tc_uyNtCI3EXk-k9XLzrP4qsQ_5_5"/>
      <w:bookmarkStart w:id="1888" w:name="Tc_-wdSm-h4c0m51amqcqAC6w_5_2"/>
      <w:bookmarkStart w:id="1889" w:name="Tc_YPnqs2D7_UuaGGvhgwxuWw_5_0"/>
      <w:bookmarkStart w:id="1890" w:name="Tc_J5kKwvxy90ejfpryiO_oqA_4_0"/>
      <w:bookmarkStart w:id="1891" w:name="Tc_vKn0WWUsfEGnYMS52hte7Q_3_11"/>
      <w:bookmarkStart w:id="1892" w:name="Tc_kvg055zy7EOcefTSbyeJlw_3_8"/>
      <w:bookmarkStart w:id="1893" w:name="Tc_ktIF3AtCEk6CEwOERjX8QQ_3_5"/>
      <w:bookmarkStart w:id="1894" w:name="Tc_i9Gttdp1p0K8mqKJ3uQOpQ_3_2"/>
      <w:bookmarkStart w:id="1895" w:name="Tc_duN4Y11TsUC2-aUx688O5A_2_11"/>
      <w:bookmarkStart w:id="1896" w:name="Tc_H5Ed-G-oNUiJsQ6ZsDEf_w_2_8"/>
      <w:bookmarkStart w:id="1897" w:name="Tc_hKTwMB1c8km6C-yqIZ5dmg_2_5"/>
      <w:bookmarkStart w:id="1898" w:name="Tc_xhSLQaxj7kGKAT3owXD4vA_2_2"/>
      <w:bookmarkStart w:id="1899" w:name="Tc_hZnhzg7eKUaafpP5EgOBfg_1_11"/>
      <w:bookmarkStart w:id="1900" w:name="Tc_HXw1T1n-QU6iWrhj5FhnlQ_1_8"/>
      <w:bookmarkStart w:id="1901" w:name="Tc_b7FhTcCFfE-MEbzjYrGPxA_1_5"/>
      <w:bookmarkStart w:id="1902" w:name="Tc_rsHY6XocJkis3iOFNsL0hA_1_2"/>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r>
        <w:rPr>
          <w:rFonts w:ascii="Times New Roman;Times;serif" w:hAnsi="Times New Roman;Times;serif"/>
          <w:b/>
          <w:sz w:val="20"/>
        </w:rPr>
        <w:t>Note 17 – Revenue Recognition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net sales by product line:</w:t>
      </w:r>
    </w:p>
    <w:p>
      <w:pPr>
        <w:pStyle w:val="TextBody"/>
        <w:bidi w:val="0"/>
        <w:spacing w:before="0" w:after="0"/>
        <w:ind w:left="0" w:right="0" w:firstLine="720"/>
        <w:jc w:val="both"/>
        <w:rPr/>
      </w:pPr>
      <w:r>
        <w:rPr/>
        <w:t>​</w:t>
      </w:r>
    </w:p>
    <w:tbl>
      <w:tblPr>
        <w:tblW w:w="7676" w:type="dxa"/>
        <w:jc w:val="left"/>
        <w:tblInd w:w="0" w:type="dxa"/>
        <w:tblLayout w:type="fixed"/>
        <w:tblCellMar>
          <w:top w:w="0" w:type="dxa"/>
          <w:left w:w="0" w:type="dxa"/>
          <w:bottom w:w="0" w:type="dxa"/>
          <w:right w:w="0" w:type="dxa"/>
        </w:tblCellMar>
      </w:tblPr>
      <w:tblGrid>
        <w:gridCol w:w="2161"/>
        <w:gridCol w:w="346"/>
        <w:gridCol w:w="274"/>
        <w:gridCol w:w="881"/>
        <w:gridCol w:w="109"/>
        <w:gridCol w:w="274"/>
        <w:gridCol w:w="881"/>
        <w:gridCol w:w="109"/>
        <w:gridCol w:w="239"/>
        <w:gridCol w:w="886"/>
        <w:gridCol w:w="346"/>
        <w:gridCol w:w="225"/>
        <w:gridCol w:w="945"/>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72235" cy="175260"/>
                      <wp:effectExtent l="0" t="0" r="0" b="0"/>
                      <wp:wrapNone/>
                      <wp:docPr id="380" name="Frame38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73990" cy="175260"/>
                      <wp:effectExtent l="0" t="0" r="0" b="0"/>
                      <wp:wrapNone/>
                      <wp:docPr id="382" name="Frame38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59435" cy="175260"/>
                      <wp:effectExtent l="0" t="0" r="0" b="0"/>
                      <wp:wrapNone/>
                      <wp:docPr id="383" name="Frame383"/>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73990" cy="175260"/>
                      <wp:effectExtent l="0" t="0" r="0" b="0"/>
                      <wp:wrapNone/>
                      <wp:docPr id="385" name="Frame38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59435" cy="175260"/>
                      <wp:effectExtent l="0" t="0" r="0" b="0"/>
                      <wp:wrapNone/>
                      <wp:docPr id="386" name="Frame38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1765" cy="175260"/>
                      <wp:effectExtent l="0" t="0" r="0" b="0"/>
                      <wp:wrapNone/>
                      <wp:docPr id="388" name="Frame38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62610" cy="175260"/>
                      <wp:effectExtent l="0" t="0" r="0" b="0"/>
                      <wp:wrapNone/>
                      <wp:docPr id="389" name="Frame3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2875" cy="175260"/>
                      <wp:effectExtent l="0" t="0" r="0" b="0"/>
                      <wp:wrapNone/>
                      <wp:docPr id="391" name="Frame39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00075" cy="175260"/>
                      <wp:effectExtent l="0" t="0" r="0" b="0"/>
                      <wp:wrapNone/>
                      <wp:docPr id="392" name="Frame392"/>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Ended</w:t>
            </w: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Ended</w:t>
            </w: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Ended</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Ended</w:t>
            </w:r>
            <w:r>
              <w:rPr>
                <w:rFonts w:ascii="Times New Roman;Times;serif" w:hAnsi="Times New Roman;Times;serif"/>
                <w:sz w:val="16"/>
              </w:rPr>
              <w:t> </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by product line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Nojax</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49,828</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50,749</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Fibrous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28,004</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49,280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Plastic</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10,820</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12,462</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21,575</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Traded Goods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90,131</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97,279</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176,668</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191,467</w:t>
            </w:r>
          </w:p>
        </w:tc>
      </w:tr>
    </w:tbl>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 Subsequent Event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Viskase Holdings, Inc. (OTCQB: ENZN, formerly Enzon Pharmaceuticals, Inc.) changed its trading symbol from ENZN to VISK and transitioned its common stock to quotation on the OTCID marketplace. Viskase began trading on the OTCID as of opening on July 23, 2026, under its new trading symbol, “VISK.”</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903" w:name="Item2ManagementsDiscussionandAnalysisofF"/>
      <w:bookmarkStart w:id="1904" w:name="_c75de973_2ee4_44af_bef9_c8dde44de970"/>
      <w:bookmarkEnd w:id="1903"/>
      <w:bookmarkEnd w:id="1904"/>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Unless the context requires otherwise, references in this Quarterly Report on Form 10-Q to “Viskase,” the “Company,” “we,” “us,” or “our” and similar terms mean Viskase Holdings, Inc. and its subsidiaries. The discussion below may contain forward-looking statements that reflect our plans, estimates and beliefs. Our actual results could differ materially from those discussed in these forward-looking statements as a result of many factors, including but not limited to those under the heading “Forward-Looking Information and Factors that May Affect Future Results.”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should read the following discussion and analysis of Viskase’s financial condition and results of operations together with Viskase’s audited financial statements for the year ended December 31, 2025, together with related notes thereto, included in Amendment No. 1 to the Company’s Current Report on Form 8-K filed with the Securities and Exchange Commission (the “SEC”) on May 1, 2026. The discussion and analysis should also be read together with (i) the section titled “Information about Viskase’s Business” in the prospectus/consent solicitation statement/offer to exchange filed by the Company with the SEC on January 30, 2026, (ii) our consolidated financial statements and notes to those statements included elsewhere in this Quarterly Report on Form 10-Q and (iii) our 2025 Annual Report on Form 10-K, as amended.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 Holdings, Inc., previously known as Enzon Pharmaceuticals, Inc., is a Delaware corporation organized in 1970. Viskase, together with its subsidiaries, including Viskase Companies, operates in the casing product segment of the food industry. Viskase is a worldwide leader in the production and sale of cellulosic, fibrous and plastic casings for the processed meat and poultry industry. Viskase currently operates eight significant manufacturing facilities throughout North America, Europe, South America and Asia. Viskase provides value-added support services relating to these products for some of the world’s largest global consumer products companies. Viskase is one of the two largest worldwide producers of non-edible cellulosic casings for processed meats and one of the three largest manufacturers of non-edible fibrous casings.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Viskase’s net sales are driven by consumer demand for meat products and the level of demand for casings by processed meat manufacturers, as well as the average selling prices of Viskase’s casings. Specifically, demand for Viskase’s casings is dependent on population growth, overall consumption of processed meats and the types of meat products purchased by consumers. Average selling prices are dependent on overall supply and demand for casings and Viskase’s product mix.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Viskase’s cellulose, fibrous and plastic casing extrusion operations are capital-intensive and are characterized by high fixed costs. Viskase’s finishing operations are labor intensive. The industry’s operating results have historically been sensitive to the global balance of capacity and demand. The industry’s extrusion facilities produce casings under a timed chemical process and operate continuously.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Viskase’s gross profit varies with changes in selling price, input material costs, labor costs and manufacturing efficiencies. The total contribution margin increases as demand for Viskase’s casings increases. Viskase’s financial results benefit from increased volume because Viskase does not have to increase its fixed cost structure in proportion to increases in demand. For certain products, Viskase operates at near capacity in its existing facilities. Viskase regularly evaluates its capacity and projected market demand. Viskase believes the current and planned cellulosic production capacity in Viskase’s industry is in balance with global demand.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Viskase’s business strategy is to continue to improve operational efficiencies, product quality and throughput by upgrading existing production facilities and adding resources in high growth markets through new capital investments. Viskase has been successful in implementing production cost-savings initiatives and will continue to pursue similar opportunities that enhance its profitability and competitive positioning as a leader in the casing market. Viskase is focused on reducing extrusion, shirring and printing waste through equipment upgrades and an ongoing effort to redefine product mix. In addition, Viskase seeks entry into new value-added lines of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20, 2025, the Company entered into an Agreement and Plan of Merger (“Merger Agreement”) that was amended on October 23, 2025, by and between Enzon Pharmaceuticals, Inc. (which is now known as Viskase Holdings, Inc.), Viskase Companies, Inc. (which was converted into a limited liability company following the Merger and is now known as Viskase Companies, LLC (“Viskase Companies”), and EPSC Acquisition Corp. (“EPSC”). Pursuant to the terms of the Merger Agreement, EPSC was merged with and into Viskase Companies, with Viskase Companies surviving the merger as a wholly owned subsidiary of the Company (the “Merger”). Immediately following the Merger, Viskase Companies converted into a limited liability company under Delaware law, and the Company changed its name from “Enzon Pharmaceuticals, Inc.” to “Viskase Holdings, Inc.” References herein to the Company refer to Viskase Holdings, Inc., which operates it business through its subsidiaries, including Viskase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the transactions contemplated by the Merger Agreement, prior to the completion of the Merger, Icahn Enterprises Holdings L.P. and certain of its affiliates (together, the “IEH Parties”) agreed to exchange the shares of the Company’s Series C Non-Convertible Redeemable Preferred Stock, par value $0.01 per share (the “Series C Preferred Stock”), held by them into shares of the Company’s common stock (the “IEH Exchange”), pursuant to the terms of a support agreement entered into between the Company, Viskase Companies, and the IEH Parties on June 20, 2025 and amended on October 23, 2025 (the “Support Agreement”). In addition, certain holders of the Series C Preferred Stock other than the IEH Parties exchanged their shares of Series C Preferred Stock for shares of the Company’s common stock pursuant to the terms of an exchange offer conducted by the Company (the “Series C Exchange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2026 (the “Closing Date”), the Company consummated the Merger Agreement and, as a result, Viskase Companies became a wholly owned subsidiary of Viskase Holdings. Pursuant to the terms of the Merger Agreement, holders of Viskase Companies’ common stock were entitled to receive shares of the common stock of the Company as consideration for the Merger. Accordingly, all of the issued and outstanding shares of common stock of Viskase Companies were cancelled and exchanged for the right to receive the merger consideration, which consisted of shares of the Company’s common stock. As a result of the Merger, Viskase Companies became a wholly owned subsidiary of Viskase Holdings. However, for financial reporting purposes, Viskase Companies is deemed to be the accounting acquirer in 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assets of Viskase Holdings (formerly Enzon Pharmaceuticals, Inc.) as of the Closing Date are stated at historical cost, with no goodwill or other intangible assets recorded, and the operations following the completion of the Merger are those of Viskase Companies and its subsidiaries. Upon closing of the Merger, Viskase Holdings had approximately $40.8 million in cash. As a result of the completion of the Merger, the business and operations conducted by the Company are those that were conducted by Viskase Companies prior to the completion of the Merger.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Restructuring Plan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2025 Restructuring Plan – Arkansas Plant 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2025, the Company announced that it would cease production at its Osceola, Arkansas facility effective as of May 31, 2025 (the “2025 Plant Closure Program”), which is part of the 2025 Restructuring Plan. In connection with the plant closure, 210 employees were separated under the Company’s separation plan resulting in severance of approximately $4,600 included in the restructuring and related costs for the year ended December 31, 2025. The plant closure resulted in an impairment of $9,600 related to the property, plant and equipment and $7,059 related to inventory which are recorded as an asset impairment charge in the condensed consolidated statement of operations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charges related to the 2025 Restructuring Plan for the periods presented (in thousands):</w:t>
      </w:r>
    </w:p>
    <w:p>
      <w:pPr>
        <w:pStyle w:val="TextBody"/>
        <w:bidi w:val="0"/>
        <w:spacing w:before="0" w:after="0"/>
        <w:ind w:left="0" w:right="0" w:hanging="0"/>
        <w:jc w:val="left"/>
        <w:rPr/>
      </w:pPr>
      <w:r>
        <w:rPr/>
        <w:t>​</w:t>
      </w:r>
    </w:p>
    <w:tbl>
      <w:tblPr>
        <w:tblW w:w="7053" w:type="dxa"/>
        <w:jc w:val="left"/>
        <w:tblInd w:w="0" w:type="dxa"/>
        <w:tblLayout w:type="fixed"/>
        <w:tblCellMar>
          <w:top w:w="0" w:type="dxa"/>
          <w:left w:w="0" w:type="dxa"/>
          <w:bottom w:w="0" w:type="dxa"/>
          <w:right w:w="0" w:type="dxa"/>
        </w:tblCellMar>
      </w:tblPr>
      <w:tblGrid>
        <w:gridCol w:w="4036"/>
        <w:gridCol w:w="346"/>
        <w:gridCol w:w="379"/>
        <w:gridCol w:w="761"/>
        <w:gridCol w:w="346"/>
        <w:gridCol w:w="252"/>
        <w:gridCol w:w="93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562860" cy="175260"/>
                      <wp:effectExtent l="0" t="0" r="0" b="0"/>
                      <wp:wrapNone/>
                      <wp:docPr id="393" name="Frame393"/>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40665" cy="175260"/>
                      <wp:effectExtent l="0" t="0" r="0" b="0"/>
                      <wp:wrapNone/>
                      <wp:docPr id="395" name="Frame39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83235" cy="175260"/>
                      <wp:effectExtent l="0" t="0" r="0" b="0"/>
                      <wp:wrapNone/>
                      <wp:docPr id="396" name="Frame396"/>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60020" cy="175260"/>
                      <wp:effectExtent l="0" t="0" r="0" b="0"/>
                      <wp:wrapNone/>
                      <wp:docPr id="398" name="Frame39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92455" cy="175260"/>
                      <wp:effectExtent l="0" t="0" r="0" b="0"/>
                      <wp:wrapNone/>
                      <wp:docPr id="399" name="Frame39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w:t>
            </w:r>
          </w:p>
        </w:tc>
      </w:tr>
      <w:tr>
        <w:trPr/>
        <w:tc>
          <w:tcPr>
            <w:tcW w:w="4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4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restructuring charges:</w:t>
            </w:r>
          </w:p>
        </w:tc>
        <w:tc>
          <w:tcPr>
            <w:tcW w:w="34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and other personnel costs</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and disposal costs and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charges</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of inventory due to restructuring plan</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non-cash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In connection with the 2025 Restructuring Plan, the Company does not expect that it will incur any significant additional cash charges during the remainder of 2026. The Company does not anticipate these cost-saving measures will impair its ability to conduct any of its key business functions. However, the Company may not be able to realize the cost savings and benefits initially anticipated as a result of the 2025 Restructuring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General Economic Risk Factors on our Business and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Viskase is subject to continuing risks and uncertainties in connection with, and as a result of, the current geopolitical and economic uncertainty, including increases in inflation, risk of economic slowdown, fluctuating interest rates, new or increased tariffs and other barriers to trade, supply chain disruptions, changes to fiscal and monetary policy or government budget dynamics (particularly in the product segment of the food industry), volatility in financial markets, elevated energy and commodity prices, potential government shut downs, and war, military conflicts and/or hostilities, including the ongoing conflicts between Russia and Ukraine and regional hostilities in the Middle East and the responses thereto. While we are closely monitoring the impact of the current macroeconomic and geopolitical conditions on all aspects of our business, the ultimate extent of the impact on our business remains highly uncertain and will depend on future developments and factors that continue to evolve. Most of these developments and factors are outside of our control and could exist for an extended period of time, and could have material adverse effects on our business, results of operations, financial condition, and liquidity, including through increased input costs, disrupted supply chains, reduced consumer demand, tighter financial conditions, and impaired access to capital markets. We will continue to evaluate the nature and extent of the potential impacts to our business, results of operations, liquidity and capital resources. For additional information, see the section titled “</w:t>
      </w:r>
      <w:r>
        <w:rPr>
          <w:rFonts w:ascii="Times New Roman;Times;serif" w:hAnsi="Times New Roman;Times;serif"/>
          <w:i/>
          <w:sz w:val="20"/>
        </w:rPr>
        <w:t>Risk Factors — Risk Factors Relating to Viskase’s Business</w:t>
      </w:r>
      <w:r>
        <w:rPr>
          <w:rFonts w:ascii="Times New Roman;Times;serif" w:hAnsi="Times New Roman;Times;serif"/>
          <w:sz w:val="20"/>
        </w:rPr>
        <w:t>” in the prospectus/consent solicitation statement/offer to exchange filed by the Company with the SEC on January 30, 2026.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Components of Results of Operations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Viskase generates net sales from sales of its products, including cellulosic, fibrous and plastic casings for the processed meat and poultry industry. Viskase serves the majority of its natural channel customers through meat manufacturers, which purchase, store, sell and deliver Viskase’s products to consumers.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 periodically offers promotional incentives to its customers, including customer rebates, temporary price reductions, off-invoice discounts, and other trade activities. At the end of each accounting period, Viskase recognizes a liability for an estimated promotional allowance reserve. Viskase periodically provides credits or discounts to its customers in the event that products do not conform to customer expectations upon delivery. Viskase treats these credits and discounts as a reduction of the sales price of the related transaction at the time of sale. Viskase anticipates that these promotional activities, credits and discounts could materially impact Viskase’s net revenue and that changes in such activities could impact period-over-period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Viskase’s casings are sold to customers at a premium price point, and when prices for competitor casings fall relative to the price of Viskase’s casings (including due to any price increases Viskase may implement), price-sensitive customers may choose to purchase casings offered by Viskase’s competitors instead of Viskase’s products. As a result, competitor pricing may adversely affect Viskase’s net revenue. Net revenue may also vary from period to period depending on the purchase orders Viskase receives, the volume and mix of Viskase’s products sold, and the channels through which Viskase’s products are sold.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consists of the costs directly attributable to producing Viskase’s products, which include labor, raw material and packaging costs as well as overhead. The labor cost is comprised of wages and related costs for Viskase’s processing of crew members. The raw material is comprised of those items necessary to process Viskase’s finished casing products and the packaging costs are the cost of the packaging materials in which Viskase’s finished products are sold. Overhead costs in cost of goods sold include utilities, insurance, inbound freight, storage fees related to Viskase’s manufacturing facilities and depreciation and amortization expenses related to Viskase’s assets used in production.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Viskase’s operating expenses consist of selling, general and administrative expenses, amortization of intangibles, asset impairment expense, and restructuring and related expense, as further described below: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Selling, General and Administrative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consist primarily of personnel-related expenses, including recruiting costs, salaries, bonuses, benefits, and equity-based compensation, for individuals in Viskase’s executive, finance, operations, human resources, business development and other administrative functions. Other selling, general and administrative expenses include legal fees relating to corporate matters and patent-related activities, insurance costs, information technology, and professional and consulting fees associated with accounting, audit, tax and investor and public relations. Viskase expects selling, general and administrative expenses to increase in the future in connection with the expansion of the business and increased marketing costs.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Shipping and Distribution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Shipping and distribution expenses consist primarily of costs related to third-party freight for Viskase’s products. Viskase expects shipping and distribution expenses to increase in the medium-to-long term as Viskase continues to scale its business, and there is a risk that such expenses could continue to increase due to the dynamic and evolving global geopolitical and economic environment.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Amortization of Intangibles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 has recognized definite lived intangible assets for customer relationships, technologies, patents, trademarks, and in-place leases. Amortization of these intangibles are recognized on a straight-line basis over the respective estimated useful lives on the intangible assets.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Asset Impairment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its 2025 Restructuring Plan, Viskase took measures to close certain of its manufacturing facilities, resulting in asset impairment charges on its machinery in each respective location. These asset impairment charges are recorded as “asset impairment expense” within the consolidated statements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Restructuring and Related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costs incurred related to the 2025 Restructuring Plan, including transfer and disposal costs, professional fees, severance and other personnel costs, and capital expenditures were recorded as “restructuring and related expense” within the consolidated statements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Non-Operating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Viskase’s non-operating expenses interest expense, net and other income (expense), net, as further described below: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 records interest expense on its long-term debt based on the terms within its Credit Agreement, as further discussed and defined below with “Amended Senior Credit Facility.” This interest expense is partially offset by interest income earned on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income (expense), net primarily relates to foreign currency gains and losses and the expense related to the reversal of a receivable for an uncertain tax with offset running through the “income tax provision” within the consolidated statement of operations.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 determines its effective tax rate by estimating its permanent differences resulting from differing treatment of items for financial and income tax purposes. Viskase is periodically audited by taxing authorities and considers any adjustments made as a result of the audits in computing its income tax expense. Any audit adjustments affecting permanent differences could have an impact on Viskase’s effective tax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income taxes relate primarily to depreciation expense and share-based compensation programs accounted for differently for financial and income tax purposes. Changes in tax laws and rates could materially affect recorded deferred tax assets and liabilities in the future. Valuation allowances are recorded when it is more likely than not that a tax benefit will not be realized for a deferred tax asset. Changes in projected future earnings could affect Viskase’s recorded valuation allowances, if any,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Viskase records unrecognized tax benefit liabilities for known or anticipated tax issues for which the benefit is more likely than not based on its analysis of whether, and the extent to which, additional taxes will be due. However, due to the complexity of some of these uncertainties, the ultimate resolution may result in a payment that is materially different from the current estimate of the tax liabilities.To the extent Viskase prevails in matters for which unrecognized tax benefit liabilities have been established or are required to pay amounts in excess of its recorded liability, Viskase’s effective tax rate in a given financial statement period could be materially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 Comparison of Three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Viskase’s annual condensed consolidated statement of operations for the periods presented (in thousands):</w:t>
      </w:r>
    </w:p>
    <w:tbl>
      <w:tblPr>
        <w:tblW w:w="7233" w:type="dxa"/>
        <w:jc w:val="left"/>
        <w:tblInd w:w="0" w:type="dxa"/>
        <w:tblLayout w:type="fixed"/>
        <w:tblCellMar>
          <w:top w:w="0" w:type="dxa"/>
          <w:left w:w="0" w:type="dxa"/>
          <w:bottom w:w="0" w:type="dxa"/>
          <w:right w:w="0" w:type="dxa"/>
        </w:tblCellMar>
      </w:tblPr>
      <w:tblGrid>
        <w:gridCol w:w="2956"/>
        <w:gridCol w:w="346"/>
        <w:gridCol w:w="259"/>
        <w:gridCol w:w="851"/>
        <w:gridCol w:w="346"/>
        <w:gridCol w:w="232"/>
        <w:gridCol w:w="878"/>
        <w:gridCol w:w="346"/>
        <w:gridCol w:w="226"/>
        <w:gridCol w:w="793"/>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877060" cy="175260"/>
                      <wp:effectExtent l="0" t="0" r="0" b="0"/>
                      <wp:wrapNone/>
                      <wp:docPr id="400" name="Frame40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64465" cy="175260"/>
                      <wp:effectExtent l="0" t="0" r="0" b="0"/>
                      <wp:wrapNone/>
                      <wp:docPr id="402" name="Frame40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40385" cy="175260"/>
                      <wp:effectExtent l="0" t="0" r="0" b="0"/>
                      <wp:wrapNone/>
                      <wp:docPr id="403" name="Frame403"/>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47320" cy="175260"/>
                      <wp:effectExtent l="0" t="0" r="0" b="0"/>
                      <wp:wrapNone/>
                      <wp:docPr id="405" name="Frame40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57530" cy="175260"/>
                      <wp:effectExtent l="0" t="0" r="0" b="0"/>
                      <wp:wrapNone/>
                      <wp:docPr id="406" name="Frame40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43510" cy="175260"/>
                      <wp:effectExtent l="0" t="0" r="0" b="0"/>
                      <wp:wrapNone/>
                      <wp:docPr id="408" name="Frame4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3555" cy="175260"/>
                      <wp:effectExtent l="0" t="0" r="0" b="0"/>
                      <wp:wrapNone/>
                      <wp:docPr id="409" name="Frame40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93"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93"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93"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30, 2026</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30, 2025</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90,131</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97,279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(7,148)</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79,033</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85,645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(6,612)</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11,098</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12,149</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impairment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 expense</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15,125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Net sales decreased by approximately $7.2 million, or (7.3)%, to $90.1 million for the three months ended June 30, 2026, compared to $97.3 million for the three months ended June 30, 2025. The decrease in net sales was primarily driven by volume-related decreases of approximately $10.9 million, partially offset by price and product mix-related increases of approximately $2.6 million and a favorable foreign currency impact of $1.1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following table summarizes our segment revenues for the periods presented (in thousands):</w:t>
      </w:r>
    </w:p>
    <w:tbl>
      <w:tblPr>
        <w:tblW w:w="10205" w:type="dxa"/>
        <w:jc w:val="left"/>
        <w:tblInd w:w="0" w:type="dxa"/>
        <w:tblLayout w:type="fixed"/>
        <w:tblCellMar>
          <w:top w:w="0" w:type="dxa"/>
          <w:left w:w="0" w:type="dxa"/>
          <w:bottom w:w="0" w:type="dxa"/>
          <w:right w:w="0" w:type="dxa"/>
        </w:tblCellMar>
      </w:tblPr>
      <w:tblGrid>
        <w:gridCol w:w="2112"/>
        <w:gridCol w:w="146"/>
        <w:gridCol w:w="252"/>
        <w:gridCol w:w="824"/>
        <w:gridCol w:w="361"/>
        <w:gridCol w:w="254"/>
        <w:gridCol w:w="813"/>
        <w:gridCol w:w="361"/>
        <w:gridCol w:w="211"/>
        <w:gridCol w:w="676"/>
        <w:gridCol w:w="361"/>
        <w:gridCol w:w="211"/>
        <w:gridCol w:w="685"/>
        <w:gridCol w:w="361"/>
        <w:gridCol w:w="400"/>
        <w:gridCol w:w="660"/>
        <w:gridCol w:w="146"/>
        <w:gridCol w:w="223"/>
        <w:gridCol w:w="828"/>
        <w:gridCol w:w="320"/>
      </w:tblGrid>
      <w:tr>
        <w:trPr/>
        <w:tc>
          <w:tcPr>
            <w:tcW w:w="2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41120" cy="175260"/>
                      <wp:effectExtent l="0" t="0" r="0" b="0"/>
                      <wp:wrapNone/>
                      <wp:docPr id="410" name="Frame410"/>
                      <a:graphic xmlns:a="http://schemas.openxmlformats.org/drawingml/2006/main">
                        <a:graphicData uri="http://schemas.microsoft.com/office/word/2010/wordprocessingShape">
                          <wps:wsp>
                            <wps:cNvSpPr txBox="1"/>
                            <wps:spPr>
                              <a:xfrm>
                                <a:off x="0" y="0"/>
                                <a:ext cx="134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2710" cy="175260"/>
                      <wp:effectExtent l="0" t="0" r="0" b="0"/>
                      <wp:wrapNone/>
                      <wp:docPr id="411" name="Frame4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60020" cy="175260"/>
                      <wp:effectExtent l="0" t="0" r="0" b="0"/>
                      <wp:wrapNone/>
                      <wp:docPr id="412" name="Frame41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23240" cy="175260"/>
                      <wp:effectExtent l="0" t="0" r="0" b="0"/>
                      <wp:wrapNone/>
                      <wp:docPr id="413" name="Frame413"/>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29235" cy="175260"/>
                      <wp:effectExtent l="0" t="0" r="0" b="0"/>
                      <wp:wrapNone/>
                      <wp:docPr id="414" name="Frame4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61290" cy="175260"/>
                      <wp:effectExtent l="0" t="0" r="0" b="0"/>
                      <wp:wrapNone/>
                      <wp:docPr id="415" name="Frame41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16255" cy="175260"/>
                      <wp:effectExtent l="0" t="0" r="0" b="0"/>
                      <wp:wrapNone/>
                      <wp:docPr id="416" name="Frame41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29235" cy="175260"/>
                      <wp:effectExtent l="0" t="0" r="0" b="0"/>
                      <wp:wrapNone/>
                      <wp:docPr id="417" name="Frame4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29260" cy="175260"/>
                      <wp:effectExtent l="0" t="0" r="0" b="0"/>
                      <wp:wrapNone/>
                      <wp:docPr id="419" name="Frame4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29235" cy="175260"/>
                      <wp:effectExtent l="0" t="0" r="0" b="0"/>
                      <wp:wrapNone/>
                      <wp:docPr id="420" name="Frame4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4975" cy="175260"/>
                      <wp:effectExtent l="0" t="0" r="0" b="0"/>
                      <wp:wrapNone/>
                      <wp:docPr id="422" name="Frame422"/>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29235" cy="175260"/>
                      <wp:effectExtent l="0" t="0" r="0" b="0"/>
                      <wp:wrapNone/>
                      <wp:docPr id="423" name="Frame4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54000" cy="175260"/>
                      <wp:effectExtent l="0" t="0" r="0" b="0"/>
                      <wp:wrapNone/>
                      <wp:docPr id="424" name="Frame42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19100" cy="175260"/>
                      <wp:effectExtent l="0" t="0" r="0" b="0"/>
                      <wp:wrapNone/>
                      <wp:docPr id="425" name="Frame425"/>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92710" cy="175260"/>
                      <wp:effectExtent l="0" t="0" r="0" b="0"/>
                      <wp:wrapNone/>
                      <wp:docPr id="426" name="Frame4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41605" cy="175260"/>
                      <wp:effectExtent l="0" t="0" r="0" b="0"/>
                      <wp:wrapNone/>
                      <wp:docPr id="427" name="Frame42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25780" cy="175260"/>
                      <wp:effectExtent l="0" t="0" r="0" b="0"/>
                      <wp:wrapNone/>
                      <wp:docPr id="428" name="Frame42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3200" cy="175260"/>
                      <wp:effectExtent l="0" t="0" r="0" b="0"/>
                      <wp:wrapNone/>
                      <wp:docPr id="429" name="Frame42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2"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762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0" w:type="dxa"/>
            <w:tcBorders/>
            <w:vAlign w:val="center"/>
          </w:tcPr>
          <w:p>
            <w:pPr>
              <w:pStyle w:val="TableContents"/>
              <w:bidi w:val="0"/>
              <w:spacing w:before="0" w:after="0"/>
              <w:ind w:left="0" w:right="0" w:hanging="0"/>
              <w:jc w:val="center"/>
              <w:rPr/>
            </w:pPr>
            <w:r>
              <w:rPr/>
              <w:t> </w:t>
            </w:r>
          </w:p>
        </w:tc>
      </w:tr>
      <w:tr>
        <w:trPr/>
        <w:tc>
          <w:tcPr>
            <w:tcW w:w="2112"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076"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c>
          <w:tcPr>
            <w:tcW w:w="1067"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c>
          <w:tcPr>
            <w:tcW w:w="896"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 and</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r>
      <w:tr>
        <w:trPr/>
        <w:tc>
          <w:tcPr>
            <w:tcW w:w="2112"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North America</w:t>
            </w:r>
          </w:p>
        </w:tc>
        <w:tc>
          <w:tcPr>
            <w:tcW w:w="361"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 America</w:t>
            </w:r>
          </w:p>
        </w:tc>
        <w:tc>
          <w:tcPr>
            <w:tcW w:w="361"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61" w:type="dxa"/>
            <w:tcBorders/>
            <w:vAlign w:val="center"/>
          </w:tcPr>
          <w:p>
            <w:pPr>
              <w:pStyle w:val="TableContents"/>
              <w:bidi w:val="0"/>
              <w:spacing w:before="0" w:after="0"/>
              <w:ind w:left="0" w:right="0" w:hanging="0"/>
              <w:jc w:val="center"/>
              <w:rPr/>
            </w:pPr>
            <w:r>
              <w:rPr/>
              <w:t>​</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61" w:type="dxa"/>
            <w:tcBorders/>
            <w:vAlign w:val="center"/>
          </w:tcPr>
          <w:p>
            <w:pPr>
              <w:pStyle w:val="TableContents"/>
              <w:bidi w:val="0"/>
              <w:spacing w:before="0" w:after="0"/>
              <w:ind w:left="0" w:right="0" w:hanging="0"/>
              <w:jc w:val="center"/>
              <w:rPr/>
            </w:pPr>
            <w:r>
              <w:rPr/>
              <w:t>​</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46"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0" w:type="dxa"/>
            <w:tcBorders/>
            <w:vAlign w:val="center"/>
          </w:tcPr>
          <w:p>
            <w:pPr>
              <w:pStyle w:val="TableContents"/>
              <w:bidi w:val="0"/>
              <w:spacing w:before="0" w:after="0"/>
              <w:ind w:left="0" w:right="0" w:hanging="0"/>
              <w:jc w:val="center"/>
              <w:rPr/>
            </w:pPr>
            <w:r>
              <w:rPr/>
              <w:t>​</w:t>
            </w:r>
          </w:p>
        </w:tc>
      </w:tr>
      <w:tr>
        <w:trPr/>
        <w:tc>
          <w:tcPr>
            <w:tcW w:w="21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2026</w:t>
            </w:r>
          </w:p>
        </w:tc>
        <w:tc>
          <w:tcPr>
            <w:tcW w:w="1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41,375</w:t>
            </w:r>
          </w:p>
        </w:tc>
        <w:tc>
          <w:tcPr>
            <w:tcW w:w="361"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w:t>
            </w:r>
          </w:p>
        </w:tc>
        <w:tc>
          <w:tcPr>
            <w:tcW w:w="361"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110,978</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21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2025</w:t>
            </w:r>
          </w:p>
        </w:tc>
        <w:tc>
          <w:tcPr>
            <w:tcW w:w="1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47,003</w:t>
            </w:r>
          </w:p>
        </w:tc>
        <w:tc>
          <w:tcPr>
            <w:tcW w:w="361"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w:t>
            </w:r>
          </w:p>
        </w:tc>
        <w:tc>
          <w:tcPr>
            <w:tcW w:w="361"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115,117</w:t>
            </w:r>
          </w:p>
        </w:tc>
        <w:tc>
          <w:tcPr>
            <w:tcW w:w="320" w:type="dxa"/>
            <w:tcBorders/>
            <w:vAlign w:val="center"/>
          </w:tcPr>
          <w:p>
            <w:pPr>
              <w:pStyle w:val="TableContents"/>
              <w:bidi w:val="0"/>
              <w:spacing w:before="0" w:after="0"/>
              <w:ind w:left="0" w:right="0" w:hanging="0"/>
              <w:jc w:val="left"/>
              <w:rPr/>
            </w:pPr>
            <w:r>
              <w:rPr/>
              <w:t>​</w:t>
            </w:r>
          </w:p>
        </w:tc>
      </w:tr>
      <w:tr>
        <w:trPr/>
        <w:tc>
          <w:tcPr>
            <w:tcW w:w="2112"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 $</w:t>
            </w:r>
          </w:p>
        </w:tc>
        <w:tc>
          <w:tcPr>
            <w:tcW w:w="1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c>
          <w:tcPr>
            <w:tcW w:w="361"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w:t>
            </w:r>
          </w:p>
        </w:tc>
        <w:tc>
          <w:tcPr>
            <w:tcW w:w="361"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2112"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 % </w:t>
            </w:r>
          </w:p>
        </w:tc>
        <w:tc>
          <w:tcPr>
            <w:tcW w:w="1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4"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00"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decrease in North America nets sales of $5.6 million is mainly due to reduced sales volume resulting from a temporary production capacity issue related to the 2025 restructuring plan, offset by an increase in selling price. EMEA nets sales has increased $5.4 million due to $5.3 million of intercompany sales volume. Asia net sales decreased $3.4 million due to sales volume.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Cost of sales decreased by approximately $6.6 million or (7.7)% to $79.0 million for the three months ended June 30, 2026, compared to $85.6 million for the three months ended June 30, 2025. The decrease in cost of sales was primarily driven by lower volumes of product sold due to temporary capacity constraints.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Gross margin decreased by approximately $0.5 million, or (4.6)%, to $11.1 million for the three months ended June 30, 2026, compared to $11.6 million for the three months ended June 30, 2025. The decrease in gross margin was primarily driven by lower volumes of product sold due to temporary capacity constraints.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Selling, General and Administrative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Selling, general and administrative expenses decreased by approximately $0.8 million, or 6.0%, to $12.1 million for the three months ended June 30, 2026, compared to $12.9 million for the three months ended June 30, 2025. The decrease was primarily driven by lower year over year professional fees and payroll expenses.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Amortization of Intangibles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Amortization of intangible assets totaled approximately $0.5 million for the three months ended June 30, 2026 compared to $0.4 million for the three months ended June 30, 2025 on the amortization of intangible assets recognized with acquisitions. </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Restructuring and Related Expenses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Restructuring and related expense totaled approximately $0.2 million for the three months ended June 30, 2026, compared to an expense of $0.9 million for the three months ended June 30, 2025. See the discussion in the Restructuring Plan section above for additional details.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Income from Operations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Loss from operations totaled approximately $2.0 million for the three months ended June 30, 2026, compared to $2.6 million for the three months ended June 30, 2025. The decrease in operating loss of $0.6 million or (23.4)% was primarily driven by the decrease in selling, general and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following table summarizes our segment operating income for the periods presented (in thousands):</w:t>
      </w:r>
    </w:p>
    <w:tbl>
      <w:tblPr>
        <w:tblW w:w="10205" w:type="dxa"/>
        <w:jc w:val="left"/>
        <w:tblInd w:w="0" w:type="dxa"/>
        <w:tblLayout w:type="fixed"/>
        <w:tblCellMar>
          <w:top w:w="0" w:type="dxa"/>
          <w:left w:w="0" w:type="dxa"/>
          <w:bottom w:w="0" w:type="dxa"/>
          <w:right w:w="0" w:type="dxa"/>
        </w:tblCellMar>
      </w:tblPr>
      <w:tblGrid>
        <w:gridCol w:w="2023"/>
        <w:gridCol w:w="346"/>
        <w:gridCol w:w="250"/>
        <w:gridCol w:w="794"/>
        <w:gridCol w:w="361"/>
        <w:gridCol w:w="272"/>
        <w:gridCol w:w="737"/>
        <w:gridCol w:w="361"/>
        <w:gridCol w:w="211"/>
        <w:gridCol w:w="664"/>
        <w:gridCol w:w="361"/>
        <w:gridCol w:w="211"/>
        <w:gridCol w:w="664"/>
        <w:gridCol w:w="361"/>
        <w:gridCol w:w="329"/>
        <w:gridCol w:w="542"/>
        <w:gridCol w:w="346"/>
        <w:gridCol w:w="263"/>
        <w:gridCol w:w="788"/>
        <w:gridCol w:w="321"/>
      </w:tblGrid>
      <w:tr>
        <w:trPr/>
        <w:tc>
          <w:tcPr>
            <w:tcW w:w="2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84605" cy="175260"/>
                      <wp:effectExtent l="0" t="0" r="0" b="0"/>
                      <wp:wrapNone/>
                      <wp:docPr id="430" name="Frame430"/>
                      <a:graphic xmlns:a="http://schemas.openxmlformats.org/drawingml/2006/main">
                        <a:graphicData uri="http://schemas.microsoft.com/office/word/2010/wordprocessingShape">
                          <wps:wsp>
                            <wps:cNvSpPr txBox="1"/>
                            <wps:spPr>
                              <a:xfrm>
                                <a:off x="0" y="0"/>
                                <a:ext cx="1284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58750" cy="175260"/>
                      <wp:effectExtent l="0" t="0" r="0" b="0"/>
                      <wp:wrapNone/>
                      <wp:docPr id="432" name="Frame43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04190" cy="175260"/>
                      <wp:effectExtent l="0" t="0" r="0" b="0"/>
                      <wp:wrapNone/>
                      <wp:docPr id="433" name="Frame43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9235" cy="175260"/>
                      <wp:effectExtent l="0" t="0" r="0" b="0"/>
                      <wp:wrapNone/>
                      <wp:docPr id="434" name="Frame4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72720" cy="175260"/>
                      <wp:effectExtent l="0" t="0" r="0" b="0"/>
                      <wp:wrapNone/>
                      <wp:docPr id="435" name="Frame43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67995" cy="175260"/>
                      <wp:effectExtent l="0" t="0" r="0" b="0"/>
                      <wp:wrapNone/>
                      <wp:docPr id="436" name="Frame43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9235" cy="175260"/>
                      <wp:effectExtent l="0" t="0" r="0" b="0"/>
                      <wp:wrapNone/>
                      <wp:docPr id="437" name="Frame4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21640" cy="175260"/>
                      <wp:effectExtent l="0" t="0" r="0" b="0"/>
                      <wp:wrapNone/>
                      <wp:docPr id="439" name="Frame439"/>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29235" cy="175260"/>
                      <wp:effectExtent l="0" t="0" r="0" b="0"/>
                      <wp:wrapNone/>
                      <wp:docPr id="440" name="Frame4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21640" cy="175260"/>
                      <wp:effectExtent l="0" t="0" r="0" b="0"/>
                      <wp:wrapNone/>
                      <wp:docPr id="442" name="Frame442"/>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29235" cy="175260"/>
                      <wp:effectExtent l="0" t="0" r="0" b="0"/>
                      <wp:wrapNone/>
                      <wp:docPr id="443" name="Frame4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8915" cy="175260"/>
                      <wp:effectExtent l="0" t="0" r="0" b="0"/>
                      <wp:wrapNone/>
                      <wp:docPr id="444" name="Frame44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44170" cy="175260"/>
                      <wp:effectExtent l="0" t="0" r="0" b="0"/>
                      <wp:wrapNone/>
                      <wp:docPr id="445" name="Frame44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67005" cy="175260"/>
                      <wp:effectExtent l="0" t="0" r="0" b="0"/>
                      <wp:wrapNone/>
                      <wp:docPr id="447" name="Frame44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00380" cy="175260"/>
                      <wp:effectExtent l="0" t="0" r="0" b="0"/>
                      <wp:wrapNone/>
                      <wp:docPr id="448" name="Frame44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3835" cy="175260"/>
                      <wp:effectExtent l="0" t="0" r="0" b="0"/>
                      <wp:wrapNone/>
                      <wp:docPr id="449" name="Frame449"/>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(Loss) Income</w:t>
            </w:r>
          </w:p>
        </w:tc>
        <w:tc>
          <w:tcPr>
            <w:tcW w:w="321" w:type="dxa"/>
            <w:tcBorders/>
            <w:vAlign w:val="center"/>
          </w:tcPr>
          <w:p>
            <w:pPr>
              <w:pStyle w:val="TableContents"/>
              <w:bidi w:val="0"/>
              <w:spacing w:before="0" w:after="0"/>
              <w:ind w:left="0" w:right="0" w:hanging="0"/>
              <w:jc w:val="left"/>
              <w:rPr/>
            </w:pPr>
            <w:r>
              <w:rPr/>
              <w:t>​</w:t>
            </w:r>
          </w:p>
        </w:tc>
      </w:tr>
      <w:tr>
        <w:trPr/>
        <w:tc>
          <w:tcPr>
            <w:tcW w:w="20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4"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09"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875"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875" w:type="dxa"/>
            <w:gridSpan w:val="2"/>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r>
      <w:tr>
        <w:trPr/>
        <w:tc>
          <w:tcPr>
            <w:tcW w:w="20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64"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64"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and </w:t>
            </w:r>
          </w:p>
        </w:tc>
        <w:tc>
          <w:tcPr>
            <w:tcW w:w="346"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r>
      <w:tr>
        <w:trPr/>
        <w:tc>
          <w:tcPr>
            <w:tcW w:w="20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North America</w:t>
            </w:r>
          </w:p>
        </w:tc>
        <w:tc>
          <w:tcPr>
            <w:tcW w:w="361" w:type="dxa"/>
            <w:tcBorders/>
            <w:vAlign w:val="center"/>
          </w:tcPr>
          <w:p>
            <w:pPr>
              <w:pStyle w:val="TableContents"/>
              <w:bidi w:val="0"/>
              <w:spacing w:before="0" w:after="0"/>
              <w:ind w:left="0" w:right="0" w:hanging="0"/>
              <w:jc w:val="left"/>
              <w:rPr/>
            </w:pPr>
            <w:r>
              <w:rPr/>
              <w:t>  ​ ​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South America</w:t>
            </w:r>
          </w:p>
        </w:tc>
        <w:tc>
          <w:tcPr>
            <w:tcW w:w="361" w:type="dxa"/>
            <w:tcBorders/>
            <w:vAlign w:val="center"/>
          </w:tcPr>
          <w:p>
            <w:pPr>
              <w:pStyle w:val="TableContents"/>
              <w:bidi w:val="0"/>
              <w:spacing w:before="0" w:after="0"/>
              <w:ind w:left="0" w:right="0" w:hanging="0"/>
              <w:jc w:val="left"/>
              <w:rPr/>
            </w:pPr>
            <w:r>
              <w:rPr/>
              <w:t>  ​ ​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61" w:type="dxa"/>
            <w:tcBorders/>
            <w:vAlign w:val="center"/>
          </w:tcPr>
          <w:p>
            <w:pPr>
              <w:pStyle w:val="TableContents"/>
              <w:bidi w:val="0"/>
              <w:spacing w:before="0" w:after="0"/>
              <w:ind w:left="0" w:right="0" w:hanging="0"/>
              <w:jc w:val="left"/>
              <w:rPr/>
            </w:pPr>
            <w:r>
              <w:rPr/>
              <w:t>  ​ ​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61"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1" w:type="dxa"/>
            <w:tcBorders/>
            <w:vAlign w:val="center"/>
          </w:tcPr>
          <w:p>
            <w:pPr>
              <w:pStyle w:val="TableContents"/>
              <w:bidi w:val="0"/>
              <w:spacing w:before="0" w:after="0"/>
              <w:ind w:left="0" w:right="0" w:hanging="0"/>
              <w:jc w:val="left"/>
              <w:rPr/>
            </w:pPr>
            <w:r>
              <w:rPr/>
              <w:t> </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c>
          <w:tcPr>
            <w:tcW w:w="361"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36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61"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c>
          <w:tcPr>
            <w:tcW w:w="321" w:type="dxa"/>
            <w:tcBorders/>
            <w:vAlign w:val="center"/>
          </w:tcPr>
          <w:p>
            <w:pPr>
              <w:pStyle w:val="TableContents"/>
              <w:bidi w:val="0"/>
              <w:spacing w:before="0" w:after="0"/>
              <w:ind w:left="0" w:right="0" w:hanging="0"/>
              <w:jc w:val="left"/>
              <w:rPr/>
            </w:pPr>
            <w:r>
              <w:rPr/>
              <w:t>​</w:t>
            </w:r>
          </w:p>
        </w:tc>
      </w:tr>
      <w:tr>
        <w:trPr/>
        <w:tc>
          <w:tcPr>
            <w:tcW w:w="2023"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c>
          <w:tcPr>
            <w:tcW w:w="361"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61"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2023"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 % </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2"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North America operating income has improved $0.6 million due to selling, general and administrative.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Interest Expense, Net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Interest expense, net of interest income totaled approximately $2.7 million for the three months ended June 30, 2026 compared to $2.8 million for the three months ended June 30, 2025. </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Other Expense, Net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Other expense, net totaled approximately $0.1 million for the three months ended June 30, 2026, compared to approximately $0.4 million for the three months ended June 30, 2025. The decrease was primarily driven by foreign currency gains or losses recognized during the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Income Tax Provision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During the three months ended June 30, 2026, an income tax provision of approximately $0.3 million was recognized on the loss before income taxes of $4.8 million compared to an income tax expense of approximately $14.4 million for the three months ended June 30, 2025 on loss before income taxes of $5.9 million. Our effective income tax rate was (6)% and (243.6)% for the three months ended June 30, 2026 and 2025, respectively.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For the three months ended June 30, 2026 the effective tax rate was lower than the statutory federal rate of 21%, for corporations, primarily due to a valuation allowance against US deferred tax assets and the jurisdictional mix of earnings and operating losses expected for the year.</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For the three months ended June 30, 2025 the effective tax rate was higher than the statutory federal rate of 21%, for corporations, primarily due to the recognition of a valuation allowance against the deferred tax assets in the U.S. and the jurisdictional mix of earnings and operating losses expected for the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 Comparison of Six Months Ended June 30, 2026 and 2025</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following table summarizes Viskase’s annual condensed consolidated statement of operations for the periods presented (in thousands):</w:t>
      </w:r>
    </w:p>
    <w:tbl>
      <w:tblPr>
        <w:tblW w:w="7311" w:type="dxa"/>
        <w:jc w:val="left"/>
        <w:tblInd w:w="0" w:type="dxa"/>
        <w:tblLayout w:type="fixed"/>
        <w:tblCellMar>
          <w:top w:w="0" w:type="dxa"/>
          <w:left w:w="0" w:type="dxa"/>
          <w:bottom w:w="0" w:type="dxa"/>
          <w:right w:w="0" w:type="dxa"/>
        </w:tblCellMar>
      </w:tblPr>
      <w:tblGrid>
        <w:gridCol w:w="2956"/>
        <w:gridCol w:w="346"/>
        <w:gridCol w:w="235"/>
        <w:gridCol w:w="890"/>
        <w:gridCol w:w="346"/>
        <w:gridCol w:w="235"/>
        <w:gridCol w:w="890"/>
        <w:gridCol w:w="346"/>
        <w:gridCol w:w="226"/>
        <w:gridCol w:w="84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877060" cy="175260"/>
                      <wp:effectExtent l="0" t="0" r="0" b="0"/>
                      <wp:wrapNone/>
                      <wp:docPr id="450" name="Frame45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49225" cy="175260"/>
                      <wp:effectExtent l="0" t="0" r="0" b="0"/>
                      <wp:wrapNone/>
                      <wp:docPr id="452" name="Frame45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65150" cy="175260"/>
                      <wp:effectExtent l="0" t="0" r="0" b="0"/>
                      <wp:wrapNone/>
                      <wp:docPr id="453" name="Frame453"/>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49225" cy="175260"/>
                      <wp:effectExtent l="0" t="0" r="0" b="0"/>
                      <wp:wrapNone/>
                      <wp:docPr id="455" name="Frame45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65150" cy="175260"/>
                      <wp:effectExtent l="0" t="0" r="0" b="0"/>
                      <wp:wrapNone/>
                      <wp:docPr id="456" name="Frame456"/>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43510" cy="175260"/>
                      <wp:effectExtent l="0" t="0" r="0" b="0"/>
                      <wp:wrapNone/>
                      <wp:docPr id="458" name="Frame4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34035" cy="175260"/>
                      <wp:effectExtent l="0" t="0" r="0" b="0"/>
                      <wp:wrapNone/>
                      <wp:docPr id="459" name="Frame45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176,668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191,467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156,570</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165,427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(16,625)</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10,683</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provision </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(11,888)</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21,997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sales decreased by approximately $14.8 million, or (7.7)%, to $176.7 million for the six months ended June 30, 2026, compared to $191.5 million for the six months ended June 30, 2025. The decrease in net sales was primarily driven by volume-related decreases of approximately $23.7 million, partially offset by price and product mix-related increases of approximately $3.9 million and a favorable foreign currency impact of $5.0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segment revenues for the periods presented (in thousands):</w:t>
      </w:r>
    </w:p>
    <w:tbl>
      <w:tblPr>
        <w:tblW w:w="10205" w:type="dxa"/>
        <w:jc w:val="left"/>
        <w:tblInd w:w="0" w:type="dxa"/>
        <w:tblLayout w:type="fixed"/>
        <w:tblCellMar>
          <w:top w:w="0" w:type="dxa"/>
          <w:left w:w="0" w:type="dxa"/>
          <w:bottom w:w="0" w:type="dxa"/>
          <w:right w:w="0" w:type="dxa"/>
        </w:tblCellMar>
      </w:tblPr>
      <w:tblGrid>
        <w:gridCol w:w="1853"/>
        <w:gridCol w:w="346"/>
        <w:gridCol w:w="232"/>
        <w:gridCol w:w="871"/>
        <w:gridCol w:w="361"/>
        <w:gridCol w:w="249"/>
        <w:gridCol w:w="797"/>
        <w:gridCol w:w="361"/>
        <w:gridCol w:w="211"/>
        <w:gridCol w:w="781"/>
        <w:gridCol w:w="361"/>
        <w:gridCol w:w="211"/>
        <w:gridCol w:w="684"/>
        <w:gridCol w:w="361"/>
        <w:gridCol w:w="329"/>
        <w:gridCol w:w="542"/>
        <w:gridCol w:w="286"/>
        <w:gridCol w:w="223"/>
        <w:gridCol w:w="828"/>
        <w:gridCol w:w="318"/>
      </w:tblGrid>
      <w:tr>
        <w:trPr/>
        <w:tc>
          <w:tcPr>
            <w:tcW w:w="1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176655" cy="175260"/>
                      <wp:effectExtent l="0" t="0" r="0" b="0"/>
                      <wp:wrapNone/>
                      <wp:docPr id="460" name="Frame460"/>
                      <a:graphic xmlns:a="http://schemas.openxmlformats.org/drawingml/2006/main">
                        <a:graphicData uri="http://schemas.microsoft.com/office/word/2010/wordprocessingShape">
                          <wps:wsp>
                            <wps:cNvSpPr txBox="1"/>
                            <wps:spPr>
                              <a:xfrm>
                                <a:off x="0" y="0"/>
                                <a:ext cx="1176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47320" cy="175260"/>
                      <wp:effectExtent l="0" t="0" r="0" b="0"/>
                      <wp:wrapNone/>
                      <wp:docPr id="462" name="Frame46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53085" cy="175260"/>
                      <wp:effectExtent l="0" t="0" r="0" b="0"/>
                      <wp:wrapNone/>
                      <wp:docPr id="463" name="Frame46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29235" cy="175260"/>
                      <wp:effectExtent l="0" t="0" r="0" b="0"/>
                      <wp:wrapNone/>
                      <wp:docPr id="464" name="Frame4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58115" cy="175260"/>
                      <wp:effectExtent l="0" t="0" r="0" b="0"/>
                      <wp:wrapNone/>
                      <wp:docPr id="465" name="Frame4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06095" cy="175260"/>
                      <wp:effectExtent l="0" t="0" r="0" b="0"/>
                      <wp:wrapNone/>
                      <wp:docPr id="466" name="Frame46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29235" cy="175260"/>
                      <wp:effectExtent l="0" t="0" r="0" b="0"/>
                      <wp:wrapNone/>
                      <wp:docPr id="467" name="Frame4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95935" cy="175260"/>
                      <wp:effectExtent l="0" t="0" r="0" b="0"/>
                      <wp:wrapNone/>
                      <wp:docPr id="469" name="Frame4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29235" cy="175260"/>
                      <wp:effectExtent l="0" t="0" r="0" b="0"/>
                      <wp:wrapNone/>
                      <wp:docPr id="470" name="Frame4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34340" cy="175260"/>
                      <wp:effectExtent l="0" t="0" r="0" b="0"/>
                      <wp:wrapNone/>
                      <wp:docPr id="472" name="Frame47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29235" cy="175260"/>
                      <wp:effectExtent l="0" t="0" r="0" b="0"/>
                      <wp:wrapNone/>
                      <wp:docPr id="473" name="Frame4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8915" cy="175260"/>
                      <wp:effectExtent l="0" t="0" r="0" b="0"/>
                      <wp:wrapNone/>
                      <wp:docPr id="474" name="Frame47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44170" cy="175260"/>
                      <wp:effectExtent l="0" t="0" r="0" b="0"/>
                      <wp:wrapNone/>
                      <wp:docPr id="475" name="Frame47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81610" cy="175260"/>
                      <wp:effectExtent l="0" t="0" r="0" b="0"/>
                      <wp:wrapNone/>
                      <wp:docPr id="476" name="Frame4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41605" cy="175260"/>
                      <wp:effectExtent l="0" t="0" r="0" b="0"/>
                      <wp:wrapNone/>
                      <wp:docPr id="477" name="Frame47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25780" cy="175260"/>
                      <wp:effectExtent l="0" t="0" r="0" b="0"/>
                      <wp:wrapNone/>
                      <wp:docPr id="478" name="Frame47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1930" cy="175260"/>
                      <wp:effectExtent l="0" t="0" r="0" b="0"/>
                      <wp:wrapNone/>
                      <wp:docPr id="479" name="Frame47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56"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18" w:type="dxa"/>
            <w:tcBorders/>
            <w:vAlign w:val="center"/>
          </w:tcPr>
          <w:p>
            <w:pPr>
              <w:pStyle w:val="TableContents"/>
              <w:bidi w:val="0"/>
              <w:spacing w:before="0" w:after="1"/>
              <w:ind w:left="0" w:right="0" w:hanging="0"/>
              <w:jc w:val="center"/>
              <w:rPr/>
            </w:pPr>
            <w:r>
              <w:rPr/>
              <w:t> </w:t>
            </w:r>
          </w:p>
        </w:tc>
      </w:tr>
      <w:tr>
        <w:trPr/>
        <w:tc>
          <w:tcPr>
            <w:tcW w:w="18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03" w:type="dxa"/>
            <w:gridSpan w:val="2"/>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46" w:type="dxa"/>
            <w:gridSpan w:val="2"/>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895" w:type="dxa"/>
            <w:gridSpan w:val="2"/>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28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center"/>
              <w:rPr/>
            </w:pPr>
            <w:r>
              <w:rPr/>
              <w:t>​</w:t>
            </w:r>
          </w:p>
        </w:tc>
      </w:tr>
      <w:tr>
        <w:trPr/>
        <w:tc>
          <w:tcPr>
            <w:tcW w:w="18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North America</w:t>
            </w:r>
          </w:p>
        </w:tc>
        <w:tc>
          <w:tcPr>
            <w:tcW w:w="361" w:type="dxa"/>
            <w:tcBorders/>
            <w:vAlign w:val="center"/>
          </w:tcPr>
          <w:p>
            <w:pPr>
              <w:pStyle w:val="TableContents"/>
              <w:bidi w:val="0"/>
              <w:spacing w:before="0" w:after="1"/>
              <w:ind w:left="0" w:right="0" w:hanging="0"/>
              <w:jc w:val="left"/>
              <w:rPr/>
            </w:pPr>
            <w:r>
              <w:rPr/>
              <w:t>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South America</w:t>
            </w:r>
          </w:p>
        </w:tc>
        <w:tc>
          <w:tcPr>
            <w:tcW w:w="361"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61" w:type="dxa"/>
            <w:tcBorders/>
            <w:vAlign w:val="center"/>
          </w:tcPr>
          <w:p>
            <w:pPr>
              <w:pStyle w:val="TableContents"/>
              <w:bidi w:val="0"/>
              <w:spacing w:before="0" w:after="1"/>
              <w:ind w:left="0" w:right="0" w:hanging="0"/>
              <w:jc w:val="left"/>
              <w:rPr/>
            </w:pPr>
            <w:r>
              <w:rPr/>
              <w:t>  ​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61" w:type="dxa"/>
            <w:tcBorders/>
            <w:vAlign w:val="center"/>
          </w:tcPr>
          <w:p>
            <w:pPr>
              <w:pStyle w:val="TableContents"/>
              <w:bidi w:val="0"/>
              <w:spacing w:before="0" w:after="1"/>
              <w:ind w:left="0" w:right="0" w:hanging="0"/>
              <w:jc w:val="left"/>
              <w:rPr/>
            </w:pPr>
            <w:r>
              <w:rPr/>
              <w:t>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286" w:type="dxa"/>
            <w:tcBorders/>
            <w:vAlign w:val="center"/>
          </w:tcPr>
          <w:p>
            <w:pPr>
              <w:pStyle w:val="TableContents"/>
              <w:bidi w:val="0"/>
              <w:spacing w:before="0" w:after="1"/>
              <w:ind w:left="0" w:right="0" w:hanging="0"/>
              <w:jc w:val="left"/>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8" w:type="dxa"/>
            <w:tcBorders/>
            <w:vAlign w:val="center"/>
          </w:tcPr>
          <w:p>
            <w:pPr>
              <w:pStyle w:val="TableContents"/>
              <w:bidi w:val="0"/>
              <w:spacing w:before="0" w:after="1"/>
              <w:ind w:left="0" w:right="0" w:hanging="0"/>
              <w:jc w:val="center"/>
              <w:rPr/>
            </w:pPr>
            <w:r>
              <w:rPr/>
              <w:t> </w:t>
            </w:r>
          </w:p>
        </w:tc>
      </w:tr>
      <w:tr>
        <w:trPr/>
        <w:tc>
          <w:tcPr>
            <w:tcW w:w="18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Six months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77,866</w:t>
            </w:r>
          </w:p>
        </w:tc>
        <w:tc>
          <w:tcPr>
            <w:tcW w:w="361"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101,662</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16,405</w:t>
            </w:r>
          </w:p>
        </w:tc>
        <w:tc>
          <w:tcPr>
            <w:tcW w:w="361"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218,360</w:t>
            </w:r>
          </w:p>
        </w:tc>
        <w:tc>
          <w:tcPr>
            <w:tcW w:w="318" w:type="dxa"/>
            <w:tcBorders/>
            <w:shd w:fill="CCEEFF" w:val="clear"/>
            <w:vAlign w:val="center"/>
          </w:tcPr>
          <w:p>
            <w:pPr>
              <w:pStyle w:val="TableContents"/>
              <w:bidi w:val="0"/>
              <w:spacing w:before="0" w:after="1"/>
              <w:ind w:left="0" w:right="0" w:hanging="0"/>
              <w:jc w:val="center"/>
              <w:rPr/>
            </w:pPr>
            <w:r>
              <w:rPr/>
              <w:t> </w:t>
            </w:r>
          </w:p>
        </w:tc>
      </w:tr>
      <w:tr>
        <w:trPr/>
        <w:tc>
          <w:tcPr>
            <w:tcW w:w="18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Six months Ended June 30, 2025</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100,314</w:t>
            </w:r>
          </w:p>
        </w:tc>
        <w:tc>
          <w:tcPr>
            <w:tcW w:w="361"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22,998</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85,663</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21,273</w:t>
            </w:r>
          </w:p>
        </w:tc>
        <w:tc>
          <w:tcPr>
            <w:tcW w:w="361" w:type="dxa"/>
            <w:tcBorders/>
            <w:vAlign w:val="center"/>
          </w:tcPr>
          <w:p>
            <w:pPr>
              <w:pStyle w:val="TableContents"/>
              <w:bidi w:val="0"/>
              <w:spacing w:before="0" w:after="1"/>
              <w:ind w:left="0" w:right="0" w:hanging="0"/>
              <w:jc w:val="left"/>
              <w:rPr/>
            </w:pPr>
            <w:r>
              <w:rPr/>
              <w:t> </w:t>
            </w:r>
          </w:p>
        </w:tc>
        <w:tc>
          <w:tcPr>
            <w:tcW w:w="329"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230,248</w:t>
            </w:r>
          </w:p>
        </w:tc>
        <w:tc>
          <w:tcPr>
            <w:tcW w:w="318" w:type="dxa"/>
            <w:tcBorders/>
            <w:vAlign w:val="center"/>
          </w:tcPr>
          <w:p>
            <w:pPr>
              <w:pStyle w:val="TableContents"/>
              <w:bidi w:val="0"/>
              <w:spacing w:before="0" w:after="1"/>
              <w:ind w:left="0" w:right="0" w:hanging="0"/>
              <w:jc w:val="left"/>
              <w:rPr/>
            </w:pPr>
            <w:r>
              <w:rPr/>
              <w:t>​</w:t>
            </w:r>
          </w:p>
        </w:tc>
      </w:tr>
      <w:tr>
        <w:trPr/>
        <w:tc>
          <w:tcPr>
            <w:tcW w:w="1853"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Change - $</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(22,448)</w:t>
            </w:r>
          </w:p>
        </w:tc>
        <w:tc>
          <w:tcPr>
            <w:tcW w:w="361"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15,999</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(4,868)</w:t>
            </w:r>
          </w:p>
        </w:tc>
        <w:tc>
          <w:tcPr>
            <w:tcW w:w="361" w:type="dxa"/>
            <w:tcBorders/>
            <w:shd w:fill="CCEEFF" w:val="clear"/>
            <w:vAlign w:val="center"/>
          </w:tcPr>
          <w:p>
            <w:pPr>
              <w:pStyle w:val="TableContents"/>
              <w:bidi w:val="0"/>
              <w:spacing w:before="0" w:after="1"/>
              <w:ind w:left="0" w:right="0" w:hanging="0"/>
              <w:jc w:val="left"/>
              <w:rPr/>
            </w:pPr>
            <w:r>
              <w:rPr/>
              <w:t> </w:t>
            </w:r>
          </w:p>
        </w:tc>
        <w:tc>
          <w:tcPr>
            <w:tcW w:w="329"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(11,888)</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1853"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Change - %</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9"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North America nets sales of $22.4 million is mainly due to reduced sales volume resulting from a temporary production capacity issue related to the 2025 restructuring plan, offset by an increase in selling price. EMEA nets sales has increased $16.0 million due to $12 million of intercompany sales volume and $4 million of increased customer sales mainly driven by foreign currency translation. Asia net sales decreased $4.9 million due to sales volume.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decreased by approximately $8.9 million or (5.4)% to $156.6 million for the six months ended June 30, 2026, compared to $165.4 million for the six months ended June 30, 2025. The decrease in cost of sales was primarily driven by lower volumes of product sold due to temporary capacity constraints.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Gross margin decreased by approximately $5.9 million, or (22.8)%, to $20.1 million for the six months ended June 30, 2026, compared to $26.0 million for the six months ended June 30, 2025. The decrease in gross margin was primarily driven by lower volumes of product sold due to temporary capacity constraints.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Selling, General and Administrative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remained the same at $24.6 million for the six months ended June 30, 2026 and 2025.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Amortization of Intangibles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Amortization of intangible assets totaled approximately $1.1 million for the six months ended June 30, 2026 and $0.8 million for the six months ended June 30, 2025 on the amortization of intangible assets recognized with acquisitions.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Restructuring and Related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Restructuring and related expense totaled approximately $0.6 million for the six months ended June 30, 2026, compared to an expense of $5.6 million for the six months ended June 30, 2025. See the discussion in the Restructuring Plan section above for additional details.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Income from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Loss from operations totaled approximately $6.3 million for the six months ended June 30, 2026, compared to $17.0 million for the six months ended June 30, 2025. The decrease in operating loss of $10.7 million or (62.7)% was primarily driven by asset impairment expense of $12.1 million recorded in during the same period in prior year, partially offset by lower year over year gross margin during the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segment operating income for the periods presented (in thousands):</w:t>
      </w:r>
    </w:p>
    <w:tbl>
      <w:tblPr>
        <w:tblW w:w="10205" w:type="dxa"/>
        <w:jc w:val="left"/>
        <w:tblInd w:w="0" w:type="dxa"/>
        <w:tblLayout w:type="fixed"/>
        <w:tblCellMar>
          <w:top w:w="0" w:type="dxa"/>
          <w:left w:w="0" w:type="dxa"/>
          <w:bottom w:w="0" w:type="dxa"/>
          <w:right w:w="0" w:type="dxa"/>
        </w:tblCellMar>
      </w:tblPr>
      <w:tblGrid>
        <w:gridCol w:w="2142"/>
        <w:gridCol w:w="346"/>
        <w:gridCol w:w="238"/>
        <w:gridCol w:w="880"/>
        <w:gridCol w:w="361"/>
        <w:gridCol w:w="285"/>
        <w:gridCol w:w="770"/>
        <w:gridCol w:w="361"/>
        <w:gridCol w:w="211"/>
        <w:gridCol w:w="571"/>
        <w:gridCol w:w="361"/>
        <w:gridCol w:w="211"/>
        <w:gridCol w:w="581"/>
        <w:gridCol w:w="361"/>
        <w:gridCol w:w="329"/>
        <w:gridCol w:w="542"/>
        <w:gridCol w:w="286"/>
        <w:gridCol w:w="234"/>
        <w:gridCol w:w="817"/>
        <w:gridCol w:w="318"/>
      </w:tblGrid>
      <w:tr>
        <w:trPr/>
        <w:tc>
          <w:tcPr>
            <w:tcW w:w="2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60170" cy="175260"/>
                      <wp:effectExtent l="0" t="0" r="0" b="0"/>
                      <wp:wrapNone/>
                      <wp:docPr id="480" name="Frame480"/>
                      <a:graphic xmlns:a="http://schemas.openxmlformats.org/drawingml/2006/main">
                        <a:graphicData uri="http://schemas.microsoft.com/office/word/2010/wordprocessingShape">
                          <wps:wsp>
                            <wps:cNvSpPr txBox="1"/>
                            <wps:spPr>
                              <a:xfrm>
                                <a:off x="0" y="0"/>
                                <a:ext cx="1360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51130" cy="175260"/>
                      <wp:effectExtent l="0" t="0" r="0" b="0"/>
                      <wp:wrapNone/>
                      <wp:docPr id="482" name="Frame48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58800" cy="175260"/>
                      <wp:effectExtent l="0" t="0" r="0" b="0"/>
                      <wp:wrapNone/>
                      <wp:docPr id="483" name="Frame483"/>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9235" cy="175260"/>
                      <wp:effectExtent l="0" t="0" r="0" b="0"/>
                      <wp:wrapNone/>
                      <wp:docPr id="484" name="Frame4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80975" cy="175260"/>
                      <wp:effectExtent l="0" t="0" r="0" b="0"/>
                      <wp:wrapNone/>
                      <wp:docPr id="485" name="Frame48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88950" cy="175260"/>
                      <wp:effectExtent l="0" t="0" r="0" b="0"/>
                      <wp:wrapNone/>
                      <wp:docPr id="486" name="Frame48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9235" cy="175260"/>
                      <wp:effectExtent l="0" t="0" r="0" b="0"/>
                      <wp:wrapNone/>
                      <wp:docPr id="487" name="Frame4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62585" cy="175260"/>
                      <wp:effectExtent l="0" t="0" r="0" b="0"/>
                      <wp:wrapNone/>
                      <wp:docPr id="489" name="Frame4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29235" cy="175260"/>
                      <wp:effectExtent l="0" t="0" r="0" b="0"/>
                      <wp:wrapNone/>
                      <wp:docPr id="490" name="Frame4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68935" cy="175260"/>
                      <wp:effectExtent l="0" t="0" r="0" b="0"/>
                      <wp:wrapNone/>
                      <wp:docPr id="492" name="Frame492"/>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29235" cy="175260"/>
                      <wp:effectExtent l="0" t="0" r="0" b="0"/>
                      <wp:wrapNone/>
                      <wp:docPr id="493" name="Frame4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8915" cy="175260"/>
                      <wp:effectExtent l="0" t="0" r="0" b="0"/>
                      <wp:wrapNone/>
                      <wp:docPr id="494" name="Frame49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44170" cy="175260"/>
                      <wp:effectExtent l="0" t="0" r="0" b="0"/>
                      <wp:wrapNone/>
                      <wp:docPr id="495" name="Frame49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81610" cy="175260"/>
                      <wp:effectExtent l="0" t="0" r="0" b="0"/>
                      <wp:wrapNone/>
                      <wp:docPr id="496" name="Frame4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48590" cy="175260"/>
                      <wp:effectExtent l="0" t="0" r="0" b="0"/>
                      <wp:wrapNone/>
                      <wp:docPr id="497" name="Frame49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18795" cy="175260"/>
                      <wp:effectExtent l="0" t="0" r="0" b="0"/>
                      <wp:wrapNone/>
                      <wp:docPr id="498" name="Frame49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1930" cy="175260"/>
                      <wp:effectExtent l="0" t="0" r="0" b="0"/>
                      <wp:wrapNone/>
                      <wp:docPr id="499" name="Frame49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99"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(Loss) Income</w:t>
            </w:r>
          </w:p>
        </w:tc>
        <w:tc>
          <w:tcPr>
            <w:tcW w:w="318" w:type="dxa"/>
            <w:tcBorders/>
            <w:vAlign w:val="center"/>
          </w:tcPr>
          <w:p>
            <w:pPr>
              <w:pStyle w:val="TableContents"/>
              <w:bidi w:val="0"/>
              <w:spacing w:before="0" w:after="1"/>
              <w:ind w:left="0" w:right="0" w:hanging="0"/>
              <w:jc w:val="center"/>
              <w:rPr/>
            </w:pPr>
            <w:r>
              <w:rPr/>
              <w:t> </w:t>
            </w:r>
          </w:p>
        </w:tc>
      </w:tr>
      <w:tr>
        <w:trPr/>
        <w:tc>
          <w:tcPr>
            <w:tcW w:w="21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center"/>
              <w:rPr/>
            </w:pPr>
            <w:r>
              <w:rPr/>
              <w:t>​</w:t>
            </w:r>
          </w:p>
        </w:tc>
        <w:tc>
          <w:tcPr>
            <w:tcW w:w="880"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85" w:type="dxa"/>
            <w:tcBorders/>
            <w:vAlign w:val="center"/>
          </w:tcPr>
          <w:p>
            <w:pPr>
              <w:pStyle w:val="TableContents"/>
              <w:bidi w:val="0"/>
              <w:spacing w:before="0" w:after="1"/>
              <w:ind w:left="0" w:right="0" w:hanging="0"/>
              <w:jc w:val="center"/>
              <w:rPr/>
            </w:pPr>
            <w:r>
              <w:rPr/>
              <w:t>​</w:t>
            </w:r>
          </w:p>
        </w:tc>
        <w:tc>
          <w:tcPr>
            <w:tcW w:w="770"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286"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817"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center"/>
              <w:rPr/>
            </w:pPr>
            <w:r>
              <w:rPr/>
              <w:t>​</w:t>
            </w:r>
          </w:p>
        </w:tc>
      </w:tr>
      <w:tr>
        <w:trPr/>
        <w:tc>
          <w:tcPr>
            <w:tcW w:w="21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w:t>
            </w:r>
          </w:p>
        </w:tc>
        <w:tc>
          <w:tcPr>
            <w:tcW w:w="11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North America</w:t>
            </w:r>
          </w:p>
        </w:tc>
        <w:tc>
          <w:tcPr>
            <w:tcW w:w="361" w:type="dxa"/>
            <w:tcBorders/>
            <w:vAlign w:val="center"/>
          </w:tcPr>
          <w:p>
            <w:pPr>
              <w:pStyle w:val="TableContents"/>
              <w:bidi w:val="0"/>
              <w:spacing w:before="0" w:after="1"/>
              <w:ind w:left="0" w:right="0" w:hanging="0"/>
              <w:jc w:val="left"/>
              <w:rPr/>
            </w:pPr>
            <w:r>
              <w:rPr/>
              <w:t>  ​ ​</w:t>
            </w:r>
          </w:p>
        </w:tc>
        <w:tc>
          <w:tcPr>
            <w:tcW w:w="1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South America</w:t>
            </w:r>
          </w:p>
        </w:tc>
        <w:tc>
          <w:tcPr>
            <w:tcW w:w="361" w:type="dxa"/>
            <w:tcBorders/>
            <w:vAlign w:val="center"/>
          </w:tcPr>
          <w:p>
            <w:pPr>
              <w:pStyle w:val="TableContents"/>
              <w:bidi w:val="0"/>
              <w:spacing w:before="0" w:after="1"/>
              <w:ind w:left="0" w:right="0" w:hanging="0"/>
              <w:jc w:val="left"/>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EMEA</w:t>
            </w:r>
          </w:p>
        </w:tc>
        <w:tc>
          <w:tcPr>
            <w:tcW w:w="361" w:type="dxa"/>
            <w:tcBorders/>
            <w:vAlign w:val="center"/>
          </w:tcPr>
          <w:p>
            <w:pPr>
              <w:pStyle w:val="TableContents"/>
              <w:bidi w:val="0"/>
              <w:spacing w:before="0" w:after="1"/>
              <w:ind w:left="0" w:right="0" w:hanging="0"/>
              <w:jc w:val="left"/>
              <w:rPr/>
            </w:pPr>
            <w:r>
              <w:rPr/>
              <w:t>  ​ ​</w:t>
            </w:r>
          </w:p>
        </w:tc>
        <w:tc>
          <w:tcPr>
            <w:tcW w:w="7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Asia</w:t>
            </w:r>
          </w:p>
        </w:tc>
        <w:tc>
          <w:tcPr>
            <w:tcW w:w="361" w:type="dxa"/>
            <w:tcBorders/>
            <w:vAlign w:val="center"/>
          </w:tcPr>
          <w:p>
            <w:pPr>
              <w:pStyle w:val="TableContents"/>
              <w:bidi w:val="0"/>
              <w:spacing w:before="0" w:after="1"/>
              <w:ind w:left="0" w:right="0" w:hanging="0"/>
              <w:jc w:val="left"/>
              <w:rPr/>
            </w:pPr>
            <w:r>
              <w:rPr/>
              <w:t>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286" w:type="dxa"/>
            <w:tcBorders/>
            <w:vAlign w:val="center"/>
          </w:tcPr>
          <w:p>
            <w:pPr>
              <w:pStyle w:val="TableContents"/>
              <w:bidi w:val="0"/>
              <w:spacing w:before="0" w:after="1"/>
              <w:ind w:left="0" w:right="0" w:hanging="0"/>
              <w:jc w:val="left"/>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8" w:type="dxa"/>
            <w:tcBorders/>
            <w:vAlign w:val="center"/>
          </w:tcPr>
          <w:p>
            <w:pPr>
              <w:pStyle w:val="TableContents"/>
              <w:bidi w:val="0"/>
              <w:spacing w:before="0" w:after="1"/>
              <w:ind w:left="0" w:right="0" w:hanging="0"/>
              <w:jc w:val="center"/>
              <w:rPr/>
            </w:pPr>
            <w:r>
              <w:rPr/>
              <w:t> </w:t>
            </w:r>
          </w:p>
        </w:tc>
      </w:tr>
      <w:tr>
        <w:trPr/>
        <w:tc>
          <w:tcPr>
            <w:tcW w:w="21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Six months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(9,736)</w:t>
            </w:r>
          </w:p>
        </w:tc>
        <w:tc>
          <w:tcPr>
            <w:tcW w:w="361"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61"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3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(6,348)</w:t>
            </w:r>
          </w:p>
        </w:tc>
        <w:tc>
          <w:tcPr>
            <w:tcW w:w="318" w:type="dxa"/>
            <w:tcBorders/>
            <w:shd w:fill="CCEEFF" w:val="clear"/>
            <w:vAlign w:val="center"/>
          </w:tcPr>
          <w:p>
            <w:pPr>
              <w:pStyle w:val="TableContents"/>
              <w:bidi w:val="0"/>
              <w:spacing w:before="0" w:after="1"/>
              <w:ind w:left="0" w:right="0" w:hanging="0"/>
              <w:jc w:val="center"/>
              <w:rPr/>
            </w:pPr>
            <w:r>
              <w:rPr/>
              <w:t> </w:t>
            </w:r>
          </w:p>
        </w:tc>
      </w:tr>
      <w:tr>
        <w:trPr/>
        <w:tc>
          <w:tcPr>
            <w:tcW w:w="21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Six months Ended June 30, 2025</w:t>
            </w:r>
          </w:p>
        </w:tc>
        <w:tc>
          <w:tcPr>
            <w:tcW w:w="346" w:type="dxa"/>
            <w:tcBorders/>
            <w:vAlign w:val="center"/>
          </w:tcPr>
          <w:p>
            <w:pPr>
              <w:pStyle w:val="TableContents"/>
              <w:bidi w:val="0"/>
              <w:spacing w:before="0" w:after="1"/>
              <w:ind w:left="0" w:right="0" w:hanging="0"/>
              <w:jc w:val="left"/>
              <w:rPr/>
            </w:pPr>
            <w:r>
              <w:rPr/>
              <w:t> </w:t>
            </w:r>
          </w:p>
        </w:tc>
        <w:tc>
          <w:tcPr>
            <w:tcW w:w="238"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(20,379)</w:t>
            </w:r>
          </w:p>
        </w:tc>
        <w:tc>
          <w:tcPr>
            <w:tcW w:w="361" w:type="dxa"/>
            <w:tcBorders/>
            <w:vAlign w:val="center"/>
          </w:tcPr>
          <w:p>
            <w:pPr>
              <w:pStyle w:val="TableContents"/>
              <w:bidi w:val="0"/>
              <w:spacing w:before="0" w:after="1"/>
              <w:ind w:left="0" w:right="0" w:hanging="0"/>
              <w:jc w:val="left"/>
              <w:rPr/>
            </w:pPr>
            <w:r>
              <w:rPr/>
              <w:t> </w:t>
            </w:r>
          </w:p>
        </w:tc>
        <w:tc>
          <w:tcPr>
            <w:tcW w:w="285"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w:t>
            </w:r>
          </w:p>
        </w:tc>
        <w:tc>
          <w:tcPr>
            <w:tcW w:w="361" w:type="dxa"/>
            <w:tcBorders/>
            <w:vAlign w:val="center"/>
          </w:tcPr>
          <w:p>
            <w:pPr>
              <w:pStyle w:val="TableContents"/>
              <w:bidi w:val="0"/>
              <w:spacing w:before="0" w:after="1"/>
              <w:ind w:left="0" w:right="0" w:hanging="0"/>
              <w:jc w:val="left"/>
              <w:rPr/>
            </w:pPr>
            <w:r>
              <w:rPr/>
              <w:t> </w:t>
            </w:r>
          </w:p>
        </w:tc>
        <w:tc>
          <w:tcPr>
            <w:tcW w:w="329"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286" w:type="dxa"/>
            <w:tcBorders/>
            <w:vAlign w:val="center"/>
          </w:tcPr>
          <w:p>
            <w:pPr>
              <w:pStyle w:val="TableContents"/>
              <w:bidi w:val="0"/>
              <w:spacing w:before="0" w:after="1"/>
              <w:ind w:left="0" w:right="0" w:hanging="0"/>
              <w:jc w:val="righ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(17,031)</w:t>
            </w:r>
          </w:p>
        </w:tc>
        <w:tc>
          <w:tcPr>
            <w:tcW w:w="318" w:type="dxa"/>
            <w:tcBorders/>
            <w:vAlign w:val="center"/>
          </w:tcPr>
          <w:p>
            <w:pPr>
              <w:pStyle w:val="TableContents"/>
              <w:bidi w:val="0"/>
              <w:spacing w:before="0" w:after="1"/>
              <w:ind w:left="0" w:right="0" w:hanging="0"/>
              <w:jc w:val="left"/>
              <w:rPr/>
            </w:pPr>
            <w:r>
              <w:rPr/>
              <w:t>​</w:t>
            </w:r>
          </w:p>
        </w:tc>
      </w:tr>
      <w:tr>
        <w:trPr/>
        <w:tc>
          <w:tcPr>
            <w:tcW w:w="2142"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Change - $</w:t>
            </w:r>
          </w:p>
        </w:tc>
        <w:tc>
          <w:tcPr>
            <w:tcW w:w="346"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10,643</w:t>
            </w:r>
          </w:p>
        </w:tc>
        <w:tc>
          <w:tcPr>
            <w:tcW w:w="361" w:type="dxa"/>
            <w:tcBorders/>
            <w:shd w:fill="CCEEFF" w:val="clear"/>
            <w:vAlign w:val="center"/>
          </w:tcPr>
          <w:p>
            <w:pPr>
              <w:pStyle w:val="TableContents"/>
              <w:bidi w:val="0"/>
              <w:spacing w:before="0" w:after="1"/>
              <w:ind w:left="0" w:right="0" w:hanging="0"/>
              <w:jc w:val="left"/>
              <w:rPr/>
            </w:pPr>
            <w:r>
              <w:rPr/>
              <w:t> </w:t>
            </w:r>
          </w:p>
        </w:tc>
        <w:tc>
          <w:tcPr>
            <w:tcW w:w="285"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1,526</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61" w:type="dxa"/>
            <w:tcBorders/>
            <w:shd w:fill="CCEEFF" w:val="clear"/>
            <w:vAlign w:val="center"/>
          </w:tcPr>
          <w:p>
            <w:pPr>
              <w:pStyle w:val="TableContents"/>
              <w:bidi w:val="0"/>
              <w:spacing w:before="0" w:after="1"/>
              <w:ind w:left="0" w:right="0" w:hanging="0"/>
              <w:jc w:val="left"/>
              <w:rPr/>
            </w:pPr>
            <w:r>
              <w:rPr/>
              <w:t> </w:t>
            </w:r>
          </w:p>
        </w:tc>
        <w:tc>
          <w:tcPr>
            <w:tcW w:w="329"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10,683</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2142"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Change - %</w:t>
            </w:r>
          </w:p>
        </w:tc>
        <w:tc>
          <w:tcPr>
            <w:tcW w:w="346" w:type="dxa"/>
            <w:tcBorders/>
            <w:vAlign w:val="center"/>
          </w:tcPr>
          <w:p>
            <w:pPr>
              <w:pStyle w:val="TableContents"/>
              <w:bidi w:val="0"/>
              <w:spacing w:before="0" w:after="1"/>
              <w:ind w:left="0" w:right="0" w:hanging="0"/>
              <w:jc w:val="left"/>
              <w:rPr/>
            </w:pPr>
            <w:r>
              <w:rPr/>
              <w:t>  ​</w:t>
            </w:r>
          </w:p>
        </w:tc>
        <w:tc>
          <w:tcPr>
            <w:tcW w:w="238"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5"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9"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(168.3)</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North America operating income has improved $10.6 million due to lower asset impairment and restructuring expense of $4.8 million offset by a decrease in gross profit due to lower sales volume. EMEA operating income is higher by $1.5 million compared to June 30, 2025 due to higher gross profit on sales mix and inflation on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expense, net of interest income totaled approximately $5.5 million for the six months ended June 30, 2026 and $5.6 million for the six months ended June 30, 2025.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(Expense) Income,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net totaled approximately $1.1 million for the six months ended June 30, 2026, compared to approximately $1.7 million for the six months ended June 30, 2025. The decrease was primarily driven by foreign currency gains or losses recognized during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Tax Provision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an income tax provision of approximately $1.1 million was recognized on the loss before income taxes of $10.8 million compared to an income tax expense of approximately $12.9 million for the six months ended June 30, 2025 on loss before income taxes of $20.9 million. Our effective income tax rate was (9.7)% and (61.9)% for the six months ended June 30, 2026 and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effective tax rate was lower than the statutory federal rate of 21%, for corporations, primarily due to the jurisdictional mix of earnings and operating losses expected for the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2025 the effective tax rate was higher than the statutory federal rate of 21%, for corporations, primarily due to a valuation allowance against US deferred tax assets and the jurisdictional mix of earnings and operating losses expected for the year.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Sources and Uses of Cash</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Viskase’s primary sources of liquidity are net cash provided by operating activities and available borrowing capacity under its Amended Senior Credit Facility and Foreign Lines of Credit (as further discussed and defined below). As of June 30, 2026, Viskase had approximately $7.9 million of cash and cash equivalents and approximately $5.8 million of unused borrowing capacity under the Amended Senior Credit Facility, net of letters of credit.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April 16, 2026, we finalized the Seventh Amendment to our Credit Agreement, which extended the Maturity Date from August 13, 2026 until August 13, 2027, amended the definition of Applicable Rate to increase the interest rate, amended the definition of Consolidated EBITDA to address the treatment of certain restructuring and transaction related costs and expenses, amended the definition of Permitted Transfers to allow the disposition of the equipment, real property and improvements of the Osceola Facility and the real property and improvements of the Chicago Property, and amended certain thresholds for obligations under the Existing Credit Agreement.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Currently, primary uses of cash are for our operations, capital expenditures, and debt service. We believe that net cash generated from operating activities, cash on hand, and available borrowings under its Amended Senior Credit Facility will be adequate to meet Viskase’s liquidity and capital requirements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The assessment of liquidity and going concern requires us to make judgments about its ability to meet its obligations as they fall due for at least one year after the date that its condensed consolidated financial statements for the six months ended June 30, 2026 are issued.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Company’s financial statements are prepared using accounting principles generally accepted in the United States of America applicable to a going concern which contemplates the realization of assets and liquidation of liabilities in the normal course of business. The ability of the Company to continue as a going concern is dependent on the Company obtaining adequate refinancing of its Senior Credit Facility before its maturity in August 2027.</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We fully expect the refinancing will be completed before the maturity of Senior Credit Facility. However, there is no assurance that the Company will be able to obtain sufficient additional funds to refinance these maturities or that such funds, if available, will be obtainable on terms satisfactory to the Company, and therefore substantial doubt exists about the Company’s ability to continue as a going concern.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condensed consolidated financial statements do not include any adjustments that might result from the Company being unable to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 Comparison of Six Months Ended June 30, 2026 and 2025</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following table summarizes Viskase’s cash flows for the periods presented (in thousands):</w:t>
      </w:r>
    </w:p>
    <w:tbl>
      <w:tblPr>
        <w:tblW w:w="7072" w:type="dxa"/>
        <w:jc w:val="left"/>
        <w:tblInd w:w="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743835" cy="175260"/>
                      <wp:effectExtent l="0" t="0" r="0" b="0"/>
                      <wp:wrapNone/>
                      <wp:docPr id="500" name="Frame50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05460" cy="175260"/>
                      <wp:effectExtent l="0" t="0" r="0" b="0"/>
                      <wp:wrapNone/>
                      <wp:docPr id="503" name="Frame5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34035" cy="175260"/>
                      <wp:effectExtent l="0" t="0" r="0" b="0"/>
                      <wp:wrapNone/>
                      <wp:docPr id="506" name="Frame50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30, 2025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3,208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Net Cash Provided by Operating Activities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Viskase’s operating cash flow is primarily driven by Viskase’s earnings and changes in operating assets and liabilities, such as accounts receivable, inventories, accounts payable and other accrued liabilities, as well as other factors described below. Cash requirements for operating activities are subject to Viskase’s operating needs and the timing of collection of receivables and payments of payables and expenses.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For the six months ended June 30, 2026, net cash used in operating activities was approximately $(27.5) million, compared to net cash provided by operating activities of approximately $2.4 million for the six months ended June 30, 2025. The decrease was primarily attributable to increases in receivables, inventories, and other current assets, as well as a decrease in accounts payable during the six months ended June 30, 2026.</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Net Cash Used in Investing Activities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For the six months ended June 30, 2026, net cash used in investing activities was approximately $16.7 million, compared to $(16.3) million for the six months ended June 30, 2025. The increase was primarily attributable to capital expenditures related to manufacturing facilities and production equipment.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Net Cash Provided by Financing Activities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Net cash provided by financing activities was approximately $43.0 million for the six months ended June 30, 2026, compared to $16.8 million for the six months ended June 30, 2025, representing an increase of $26.2 million. The increase was primarily attributable to $40.9 million of cash acquired in connection with the Enzon reverse recapitalization transaction and $15.0 million of proceeds from a private placement of common stock, partially offset by $10.9 million of repayments of short-term debt.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See Note 1 - “Summary of Significant Accounting Policies”- to our interim unaudited condensed consolidated financial statements included elsewhere in this Quarterly Report on Form 10-Q for a description of recent accounting pronouncements, if any, including the expected dates of adoption and the anticipated impact on our unaudited condensed consolidated and audited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Off-Balance Sheet Arrangements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of June 30, 2026, Viskase did not have any off-balance sheet arrangements that have, or are reasonably likely to have, a material effect on its current and future financial condition, results of operations, liquidity, capital expenditures or capital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Information and Factors That May Affect Future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Certain statements contained in this discussion may be considered forward-looking statements within the meaning of the U.S. Private Securities Litigation Reform Act of 1995.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These and other forward-looking statements are not guarantees of future results and are subject to risks, uncertainties and assumptions that could cause actual results to differ materially from those expressed in any forward-looking statements, including, without limitation, those that are set forth in the section titled “</w:t>
      </w:r>
      <w:r>
        <w:rPr>
          <w:rFonts w:ascii="Times New Roman;Times;serif" w:hAnsi="Times New Roman;Times;serif"/>
          <w:b w:val="false"/>
          <w:i/>
          <w:sz w:val="20"/>
        </w:rPr>
        <w:t>Risk Factors</w:t>
      </w:r>
      <w:r>
        <w:rPr>
          <w:rFonts w:ascii="Times New Roman;Times;serif" w:hAnsi="Times New Roman;Times;serif"/>
          <w:b/>
          <w:sz w:val="20"/>
        </w:rPr>
        <w:t xml:space="preserve">” </w:t>
      </w:r>
      <w:r>
        <w:rPr>
          <w:rFonts w:ascii="Times New Roman;Times;serif" w:hAnsi="Times New Roman;Times;serif"/>
          <w:b w:val="false"/>
          <w:sz w:val="20"/>
        </w:rPr>
        <w:t>in the prospectus/consent solicitation statement/offer to exchange filed by the Company with the SEC on January 30, 2026. These risks and uncertainties should be considered carefully and readers are cautioned not to place undue reliance on such forward-looking statements. As such, Viskase cannot assure you that the future results covered by the forward-looking statements will be achieved. Forward-looking statements may relate to, among other things: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ability to meet liquidity requirements and to fund necessary capital expenditures;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the strength of demand for our products, prices for our products and changes in overall demand;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assessment of market and industry conditions and changes in the relative market shares of industry participants;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consumption patterns and consumer preferences;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the effects of competition and competitor responses to our products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ability to realize operating improvements and anticipated cost savings;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pending or future legal proceedings and regulatory matters;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general economic conditions and their effect on our business, including the impact of geopolitical issues or conflicts;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changes in the cost or availability of raw materials and changes in energy prices or other costs, including any impact associated with quotas, duties, tariffs, taxes or other similar restrictions upon the import or export of materials or the geopolitical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pricing pressures for our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the cost of and compliance with environmental laws and other governmental regulations;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results of operations for future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anticipated capital expenditures;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ability to pay, and our intentions with respect to the payment of, dividends on shares of our capital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ability to protect our intellectual property;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economic and industry conditions affecting our customers and suppliers, including the impact of inflation;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ability to identify, complete and integrate acquisitions, including the business combination between Enzon and Viskase Companies, pursuant to which Viskase Companies became a wholly owned subsidiary of Enzon (now known as Viskase Holdings,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our strategy for the future, including opportunities that may be presented to and/or pursued by us; 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sz w:val="20"/>
        </w:rPr>
        <w:t>the Company may not be able to utilize its net operating losses and tax credit carryforwards.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forward-looking statements are not guarantees of future performance. Forward-looking statements are based on management’s expectations that involve risks and uncertainties.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905" w:name="Item3QuantitativeandQualitativeDisclosur"/>
      <w:bookmarkStart w:id="1906" w:name="_f0039721_2a7f_4455_b6c6_9360943f05b5"/>
      <w:bookmarkStart w:id="1907" w:name="_Item_3._Quantitative"/>
      <w:bookmarkEnd w:id="1905"/>
      <w:bookmarkEnd w:id="1906"/>
      <w:bookmarkEnd w:id="1907"/>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08" w:name="Item4ControlsandProcedures_717811"/>
      <w:bookmarkStart w:id="1909" w:name="_c956416f_72d9_4e3e_89a0_5083d1432025"/>
      <w:bookmarkEnd w:id="1908"/>
      <w:bookmarkEnd w:id="190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Exchange Act Rules 13a-15(e) and 15d-15(e)) that are designed to ensure that information required to be disclosed by us in reports filed or submitted under the Securities Exchange Act of 1934 is recorded, processed, summarized and reported within the time periods specified in the rules and forms of the Securities and Exchange Commission, and that such information is accumulated and communicated to management, including our Chief Executive Officer and Chief Financial Officer,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our disclosure controls and procedures as of June 30, 2026. Based on this evaluation, our Chief Executive Officer and Chief Financial Officer concluded that our disclosure controls and procedures were effective as of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910" w:name="PartIIOTHERINFORMATION_456319"/>
      <w:bookmarkStart w:id="1911" w:name="_337586a1_821d_4b72_a5a4_0350831dda6b"/>
      <w:bookmarkStart w:id="1912" w:name="_Part_II_"/>
      <w:bookmarkEnd w:id="1910"/>
      <w:bookmarkEnd w:id="1911"/>
      <w:bookmarkEnd w:id="191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913" w:name="Item1LegalProceedings_63089"/>
      <w:bookmarkEnd w:id="1913"/>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subject to legal proceedings and claims that arise in the ordinary course of business. The ultimate outcome of these matters is inherently uncertain, and there can be no assurance that their resolution will not have a material adverse effect on the company’s financial condition or results of operations.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914" w:name="Item1ARiskFactors_98797"/>
      <w:bookmarkStart w:id="1915" w:name="_d86dd0ab_adb3_465c_8d3a_1b43b79ae600"/>
      <w:bookmarkEnd w:id="1914"/>
      <w:bookmarkEnd w:id="1915"/>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a smaller reporting company, we are not required to provide information required by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916" w:name="Item2UnregisteredSalesofEquitySecurities"/>
      <w:bookmarkStart w:id="1917" w:name="_aa7978e9_4935_4d6b_8ac5_a0dca449d9ed"/>
      <w:bookmarkEnd w:id="1916"/>
      <w:bookmarkEnd w:id="1917"/>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18" w:name="Item3DefaultsUponSeniorSecurities_262352"/>
      <w:bookmarkEnd w:id="1918"/>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19" w:name="Item4MineSafetyDisclosures_206088"/>
      <w:bookmarkStart w:id="1920" w:name="_d6d63b1a_b0c1_48e2_b0dc_54f19d318636"/>
      <w:bookmarkEnd w:id="1919"/>
      <w:bookmarkEnd w:id="1920"/>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240"/>
        <w:ind w:left="0" w:right="0" w:hanging="0"/>
        <w:jc w:val="left"/>
        <w:rPr>
          <w:rFonts w:ascii="Times New Roman;Times;serif" w:hAnsi="Times New Roman;Times;serif"/>
          <w:b/>
          <w:sz w:val="20"/>
        </w:rPr>
      </w:pPr>
      <w:bookmarkStart w:id="1921" w:name="Item5OtherInformation_782120"/>
      <w:bookmarkStart w:id="1922" w:name="_50d34cb2_5dca_46e7_b314_508c7c74689f"/>
      <w:bookmarkEnd w:id="1921"/>
      <w:bookmarkEnd w:id="1922"/>
      <w:r>
        <w:rPr>
          <w:rFonts w:ascii="Times New Roman;Times;serif" w:hAnsi="Times New Roman;Times;serif"/>
          <w:b/>
          <w:sz w:val="20"/>
        </w:rPr>
        <w:t xml:space="preserve">Item 5. Other Information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quarter ended June 30, 2026,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before="0" w:after="240"/>
        <w:ind w:left="0" w:right="0" w:hanging="0"/>
        <w:jc w:val="left"/>
        <w:rPr>
          <w:rFonts w:ascii="Times New Roman;Times;serif" w:hAnsi="Times New Roman;Times;serif"/>
          <w:b/>
          <w:sz w:val="20"/>
        </w:rPr>
      </w:pPr>
      <w:bookmarkStart w:id="1923" w:name="Item6Exhibits_687173"/>
      <w:bookmarkStart w:id="1924" w:name="_64a614bc_b907_41ed_82b0_332fe825956c"/>
      <w:bookmarkEnd w:id="1923"/>
      <w:bookmarkEnd w:id="1924"/>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Exhibits required by Item 601 of Regulation S-K.</w:t>
      </w:r>
    </w:p>
    <w:tbl>
      <w:tblPr>
        <w:tblW w:w="10205" w:type="dxa"/>
        <w:jc w:val="left"/>
        <w:tblInd w:w="0" w:type="dxa"/>
        <w:tblLayout w:type="fixed"/>
        <w:tblCellMar>
          <w:top w:w="0" w:type="dxa"/>
          <w:left w:w="0" w:type="dxa"/>
          <w:bottom w:w="0" w:type="dxa"/>
          <w:right w:w="0" w:type="dxa"/>
        </w:tblCellMar>
      </w:tblPr>
      <w:tblGrid>
        <w:gridCol w:w="706"/>
        <w:gridCol w:w="346"/>
        <w:gridCol w:w="7936"/>
        <w:gridCol w:w="346"/>
        <w:gridCol w:w="871"/>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48310" cy="29210"/>
                      <wp:effectExtent l="0" t="0" r="0" b="0"/>
                      <wp:wrapNone/>
                      <wp:docPr id="507" name="Frame507"/>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29210"/>
                      <wp:effectExtent l="0" t="0" r="0" b="0"/>
                      <wp:wrapNone/>
                      <wp:docPr id="508" name="Frame50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039360" cy="29210"/>
                      <wp:effectExtent l="0" t="0" r="0" b="0"/>
                      <wp:wrapNone/>
                      <wp:docPr id="509" name="Frame509"/>
                      <a:graphic xmlns:a="http://schemas.openxmlformats.org/drawingml/2006/main">
                        <a:graphicData uri="http://schemas.microsoft.com/office/word/2010/wordprocessingShape">
                          <wps:wsp>
                            <wps:cNvSpPr txBox="1"/>
                            <wps:spPr>
                              <a:xfrm>
                                <a:off x="0" y="0"/>
                                <a:ext cx="5039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29210"/>
                      <wp:effectExtent l="0" t="0" r="0" b="0"/>
                      <wp:wrapNone/>
                      <wp:docPr id="510" name="Frame5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53085" cy="29210"/>
                      <wp:effectExtent l="0" t="0" r="0" b="0"/>
                      <wp:wrapNone/>
                      <wp:docPr id="511" name="Frame511"/>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7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Reference</w:t>
            </w:r>
            <w:r>
              <w:rPr>
                <w:rFonts w:ascii="Times New Roman;Times;serif" w:hAnsi="Times New Roman;Times;serif"/>
                <w:sz w:val="16"/>
              </w:rPr>
              <w:br/>
            </w:r>
            <w:r>
              <w:rPr>
                <w:rFonts w:ascii="Times New Roman;Times;serif" w:hAnsi="Times New Roman;Times;serif"/>
                <w:b/>
                <w:sz w:val="16"/>
              </w:rPr>
              <w:t>No.</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Agreement and Plan of Merger, dated as of June 20, 2025, by and between Enzon Pharmaceuticals, Inc., EPSC Acquisition Corp. and Viskase Companies, Inc.</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Certificate of Incorporation dated May 18, 2006, together with that Certificate of Amendment to the Amended and Restated Certificate of Incorporation dated July 13, 2010.</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Second Amended and Restated By-Laws effective March 11, 2011, as amended by Amendment No. 1 to the Second Amended and Restated By-Laws effective February 15, 2013.</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Designation of Series A-1 Junior Participating Preferred Stock of Enzon Pharmaceuticals, Inc. filed with the Secretary of State of the State of Delaware on August 14, 2020.</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Designation of Series C Non-Convertible Redeemable Preferred Stock of Enzon Pharmaceuticals, Inc., filed with the Secretary of State of the State of Delaware on September 21, 2020.</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First Amendment to the Second Amended and Restated By-Laws, effective February 24, 2022.</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 of Enzon Pharmaceuticals, Inc. dated March 24, 2026.</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to the Amended and Restated Certificate of Incorporation of Enzon Pharmaceuticals, Inc. dated March 20, 2026.</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Certificate of Amendment, dated as of March 26, 2026.</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Certificate of Elimination of Series A-1 Junior Participating Preferred Stock, dated as of March 26, 2026.</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Certificate of Designations of Series A-2 Junior Participating Preferred Stock of Viskase Holdings, Inc., filed with the Secretary of State of the State of Delaware on May 5, 2026</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936"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Seventh Amendment to the Section 382 Rights Agreement, dated as of January 30, 2026,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Eighth Amendment to the Section 382 Rights Agreement, dated as of February 27, 2026,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Ninth Amendment to the Section 382 Rights Agreement, dated as of March 10, 2026,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Tenth Amendment to the Section 382 Rights Agreement, dated as of March 18, 2026,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both"/>
              <w:rPr/>
            </w:pPr>
            <w:r>
              <w:rPr/>
              <w:t>​</w:t>
            </w:r>
          </w:p>
        </w:tc>
        <w:tc>
          <w:tcPr>
            <w:tcW w:w="7936"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Eleventh Amendment to the Section 382 Rights Agreement, dated as of March 23, 2026,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9"/>
        <w:gridCol w:w="109"/>
        <w:gridCol w:w="9074"/>
        <w:gridCol w:w="146"/>
        <w:gridCol w:w="257"/>
      </w:tblGrid>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074"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Section 382 Rights Agreement, dated as of May 5, 2026, by and between Viskase Holdings, Inc. and Continental Stock Transfer &amp; Trust Company, which includes the Form of Certificate of Designations as Exhibit A thereto, the Form of Rights Certificate as Exhibit B thereto, and the Form of Summary of Rights as Exhibit C thereto.</w:t>
              </w:r>
            </w:hyperlink>
          </w:p>
        </w:tc>
        <w:tc>
          <w:tcPr>
            <w:tcW w:w="146" w:type="dxa"/>
            <w:tcBorders/>
            <w:vAlign w:val="center"/>
          </w:tcPr>
          <w:p>
            <w:pPr>
              <w:pStyle w:val="TableContents"/>
              <w:bidi w:val="0"/>
              <w:spacing w:before="0" w:after="0"/>
              <w:ind w:left="0" w:right="0" w:hanging="0"/>
              <w:jc w:val="center"/>
              <w:rPr/>
            </w:pPr>
            <w:r>
              <w:rPr/>
              <w:t> </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pPr>
            <w:hyperlink w:anchor="enzn-20260630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pPr>
            <w:hyperlink w:anchor="enzn-20260630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pPr>
            <w:hyperlink w:anchor="enzn-20260630xex32d1.htm">
              <w:r>
                <w:rPr>
                  <w:rStyle w:val="InternetLink"/>
                  <w:rFonts w:ascii="Times New Roman;Times;serif" w:hAnsi="Times New Roman;Times;serif"/>
                  <w:b w:val="false"/>
                  <w:i w:val="false"/>
                  <w:caps w:val="false"/>
                  <w:smallCaps w:val="false"/>
                  <w:sz w:val="20"/>
                </w:rPr>
                <w:t>Certification of Principal Executive Officer pursuant to Section 906 of the Sarbanes-Oxley Act of 2002*</w:t>
              </w:r>
            </w:hyperlink>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pPr>
            <w:hyperlink w:anchor="enzn-20260630xex32d2.htm">
              <w:r>
                <w:rPr>
                  <w:rStyle w:val="InternetLink"/>
                  <w:rFonts w:ascii="Times New Roman;Times;serif" w:hAnsi="Times New Roman;Times;serif"/>
                  <w:b w:val="false"/>
                  <w:i w:val="false"/>
                  <w:caps w:val="false"/>
                  <w:smallCaps w:val="false"/>
                  <w:sz w:val="20"/>
                </w:rPr>
                <w:t>Certification of Principal Financial Officer pursuant to Section 906 of the Sarbanes-Oxley Act of 2002*</w:t>
              </w:r>
            </w:hyperlink>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90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This certification is not deemed filed by the Commission and is not to be incorporated by reference in any filing the Company makes under the Securities Act of 1933 or the Securities Exchange Act of 1934, irrespective of any general incorporation language in any filings.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Certain of the exhibits and schedules to this Exhibit have been omitted in accordance with Regulation S-K Item 601(b)(2). The Company agrees to furnish a copy of all omitted exhibits and schedules to the SEC upon its request.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Referenced exhibit was previously filed with the SEC as an exhibit to the Company’s filing indicated below and is incorporated herein by reference to that filing:</w:t>
      </w:r>
    </w:p>
    <w:tbl>
      <w:tblPr>
        <w:tblW w:w="8541" w:type="dxa"/>
        <w:jc w:val="left"/>
        <w:tblInd w:w="0" w:type="dxa"/>
        <w:tblLayout w:type="fixed"/>
        <w:tblCellMar>
          <w:top w:w="0" w:type="dxa"/>
          <w:left w:w="0" w:type="dxa"/>
          <w:bottom w:w="0" w:type="dxa"/>
          <w:right w:w="0" w:type="dxa"/>
        </w:tblCellMar>
      </w:tblPr>
      <w:tblGrid>
        <w:gridCol w:w="124"/>
        <w:gridCol w:w="436"/>
        <w:gridCol w:w="79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8740" cy="175260"/>
                      <wp:effectExtent l="0" t="0" r="0" b="0"/>
                      <wp:wrapNone/>
                      <wp:docPr id="512" name="Frame5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Quarterly Report on Form 10-Q for the quarter ended June 30, 2010, filed on August 9, 2010. </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Annual Report on Form 10-K for the year ended December 31, 2012, filed on March 18, 2013. </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 Report on Form 8-K filed on August 14, 2020. </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 Report on Form 8-K filed on September 23, 2020. </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(5)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Annual Report on Form 10-K for the year ended December 31, 2021, filed on February 25, 2022. </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January 30,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February 27,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(8)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May 5,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March 11,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March 18,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March 24,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on March 26, 2026.</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Report on Form 8-K filed with the SEC on June 23, 2025.</w:t>
            </w:r>
          </w:p>
        </w:tc>
      </w:tr>
    </w:tbl>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25" w:name="SIGNATURES_221144"/>
      <w:bookmarkStart w:id="1926" w:name="_80b1c64c_b417_4df5_acfa_0748df0563b6"/>
      <w:bookmarkEnd w:id="1925"/>
      <w:bookmarkEnd w:id="1926"/>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8207" w:type="dxa"/>
        <w:jc w:val="left"/>
        <w:tblInd w:w="0" w:type="dxa"/>
        <w:tblLayout w:type="fixed"/>
        <w:tblCellMar>
          <w:top w:w="0" w:type="dxa"/>
          <w:left w:w="0" w:type="dxa"/>
          <w:bottom w:w="0" w:type="dxa"/>
          <w:right w:w="0" w:type="dxa"/>
        </w:tblCellMar>
      </w:tblPr>
      <w:tblGrid>
        <w:gridCol w:w="1951"/>
        <w:gridCol w:w="6256"/>
      </w:tblGrid>
      <w:tr>
        <w:trPr/>
        <w:tc>
          <w:tcPr>
            <w:tcW w:w="1951" w:type="dxa"/>
            <w:tcBorders/>
            <w:vAlign w:val="center"/>
          </w:tcPr>
          <w:p>
            <w:pPr>
              <w:pStyle w:val="TableContents"/>
              <w:pBdr/>
              <w:bidi w:val="0"/>
              <w:spacing w:before="0" w:after="0"/>
              <w:ind w:left="0" w:right="0" w:hanging="0"/>
              <w:jc w:val="left"/>
              <w:rPr/>
            </w:pPr>
            <w:r>
              <w:rPr/>
              <w:t> </w:t>
            </w:r>
          </w:p>
        </w:tc>
        <w:tc>
          <w:tcPr>
            <w:tcW w:w="62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VISKASE HOLDINGS, INC.</w:t>
            </w:r>
          </w:p>
        </w:tc>
      </w:tr>
      <w:tr>
        <w:trPr/>
        <w:tc>
          <w:tcPr>
            <w:tcW w:w="1951" w:type="dxa"/>
            <w:tcBorders/>
            <w:vAlign w:val="center"/>
          </w:tcPr>
          <w:p>
            <w:pPr>
              <w:pStyle w:val="TableContents"/>
              <w:pBdr/>
              <w:bidi w:val="0"/>
              <w:spacing w:before="0" w:after="0"/>
              <w:ind w:left="0" w:right="0" w:hanging="0"/>
              <w:jc w:val="both"/>
              <w:rPr/>
            </w:pPr>
            <w:r>
              <w:rPr/>
              <w:t> </w:t>
            </w:r>
          </w:p>
        </w:tc>
        <w:tc>
          <w:tcPr>
            <w:tcW w:w="6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 </w:t>
            </w:r>
          </w:p>
        </w:tc>
      </w:tr>
      <w:tr>
        <w:trPr/>
        <w:tc>
          <w:tcPr>
            <w:tcW w:w="1951" w:type="dxa"/>
            <w:tcBorders/>
            <w:vAlign w:val="center"/>
          </w:tcPr>
          <w:p>
            <w:pPr>
              <w:pStyle w:val="TableContents"/>
              <w:pBdr/>
              <w:bidi w:val="0"/>
              <w:spacing w:before="0" w:after="0"/>
              <w:ind w:left="0" w:right="0" w:hanging="0"/>
              <w:jc w:val="both"/>
              <w:rPr/>
            </w:pPr>
            <w:r>
              <w:rPr/>
              <w:t> </w:t>
            </w:r>
          </w:p>
        </w:tc>
        <w:tc>
          <w:tcPr>
            <w:tcW w:w="625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pBdr/>
              <w:bidi w:val="0"/>
              <w:spacing w:before="0" w:after="0"/>
              <w:ind w:left="0" w:right="0" w:hanging="0"/>
              <w:jc w:val="both"/>
              <w:rPr/>
            </w:pPr>
            <w:r>
              <w:rPr/>
              <w:t> </w:t>
            </w:r>
          </w:p>
        </w:tc>
        <w:tc>
          <w:tcPr>
            <w:tcW w:w="625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3, 2026</w:t>
            </w:r>
          </w:p>
        </w:tc>
        <w:tc>
          <w:tcPr>
            <w:tcW w:w="6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D. Davis</w:t>
            </w:r>
          </w:p>
        </w:tc>
      </w:tr>
      <w:tr>
        <w:trPr/>
        <w:tc>
          <w:tcPr>
            <w:tcW w:w="1951" w:type="dxa"/>
            <w:tcBorders/>
            <w:vAlign w:val="center"/>
          </w:tcPr>
          <w:p>
            <w:pPr>
              <w:pStyle w:val="TableContents"/>
              <w:pBdr/>
              <w:bidi w:val="0"/>
              <w:spacing w:before="0" w:after="0"/>
              <w:ind w:left="0" w:right="0" w:hanging="0"/>
              <w:jc w:val="both"/>
              <w:rPr/>
            </w:pPr>
            <w:r>
              <w:rPr/>
              <w:t> </w:t>
            </w:r>
          </w:p>
        </w:tc>
        <w:tc>
          <w:tcPr>
            <w:tcW w:w="6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D. Davis</w:t>
            </w:r>
          </w:p>
        </w:tc>
      </w:tr>
      <w:tr>
        <w:trPr/>
        <w:tc>
          <w:tcPr>
            <w:tcW w:w="1951" w:type="dxa"/>
            <w:tcBorders/>
            <w:vAlign w:val="center"/>
          </w:tcPr>
          <w:p>
            <w:pPr>
              <w:pStyle w:val="TableContents"/>
              <w:pBdr/>
              <w:bidi w:val="0"/>
              <w:spacing w:before="0" w:after="0"/>
              <w:ind w:left="0" w:right="0" w:hanging="0"/>
              <w:jc w:val="both"/>
              <w:rPr/>
            </w:pPr>
            <w:r>
              <w:rPr/>
              <w:t> </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1951" w:type="dxa"/>
            <w:tcBorders/>
            <w:vAlign w:val="center"/>
          </w:tcPr>
          <w:p>
            <w:pPr>
              <w:pStyle w:val="TableContents"/>
              <w:pBdr/>
              <w:bidi w:val="0"/>
              <w:spacing w:before="0" w:after="0"/>
              <w:ind w:left="0" w:right="0" w:hanging="0"/>
              <w:jc w:val="both"/>
              <w:rPr/>
            </w:pPr>
            <w:r>
              <w:rPr/>
              <w:t> </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pBdr/>
              <w:bidi w:val="0"/>
              <w:spacing w:before="0" w:after="0"/>
              <w:ind w:left="0" w:right="0" w:hanging="0"/>
              <w:jc w:val="both"/>
              <w:rPr/>
            </w:pPr>
            <w:r>
              <w:rPr/>
              <w:t>​</w:t>
            </w:r>
          </w:p>
        </w:tc>
        <w:tc>
          <w:tcPr>
            <w:tcW w:w="625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3, 2026</w:t>
            </w:r>
          </w:p>
        </w:tc>
        <w:tc>
          <w:tcPr>
            <w:tcW w:w="6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Blecic</w:t>
            </w:r>
          </w:p>
        </w:tc>
      </w:tr>
      <w:tr>
        <w:trPr/>
        <w:tc>
          <w:tcPr>
            <w:tcW w:w="1951" w:type="dxa"/>
            <w:tcBorders/>
            <w:vAlign w:val="center"/>
          </w:tcPr>
          <w:p>
            <w:pPr>
              <w:pStyle w:val="TableContents"/>
              <w:pBdr/>
              <w:bidi w:val="0"/>
              <w:spacing w:before="0" w:after="0"/>
              <w:ind w:left="0" w:right="0" w:hanging="0"/>
              <w:jc w:val="both"/>
              <w:rPr/>
            </w:pPr>
            <w:r>
              <w:rPr/>
              <w:t>​</w:t>
            </w:r>
          </w:p>
        </w:tc>
        <w:tc>
          <w:tcPr>
            <w:tcW w:w="6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Blecic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Vice President, Chief Accounting Officer, Treasurer</w:t>
            </w:r>
          </w:p>
        </w:tc>
      </w:tr>
      <w:tr>
        <w:trPr/>
        <w:tc>
          <w:tcPr>
            <w:tcW w:w="1951" w:type="dxa"/>
            <w:tcBorders/>
            <w:vAlign w:val="center"/>
          </w:tcPr>
          <w:p>
            <w:pPr>
              <w:pStyle w:val="TableContents"/>
              <w:pBdr/>
              <w:bidi w:val="0"/>
              <w:spacing w:before="0" w:after="0"/>
              <w:ind w:left="0" w:right="0" w:hanging="0"/>
              <w:jc w:val="both"/>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right"/>
        <w:rPr>
          <w:rFonts w:ascii="Times New Roman;Times;serif" w:hAnsi="Times New Roman;Times;serif"/>
          <w:b/>
          <w:sz w:val="20"/>
        </w:rPr>
      </w:pPr>
      <w:bookmarkStart w:id="1927" w:name="enzn-20260630xex31d1.htm"/>
      <w:bookmarkStart w:id="1928" w:name="ksenzn20260630xex31d1"/>
      <w:bookmarkEnd w:id="1927"/>
      <w:bookmarkEnd w:id="1928"/>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Thomas D. Davis, certify that:</w:t>
      </w:r>
    </w:p>
    <w:tbl>
      <w:tblPr>
        <w:tblW w:w="9453" w:type="dxa"/>
        <w:jc w:val="left"/>
        <w:tblInd w:w="0" w:type="dxa"/>
        <w:tblLayout w:type="fixed"/>
        <w:tblCellMar>
          <w:top w:w="0" w:type="dxa"/>
          <w:left w:w="0" w:type="dxa"/>
          <w:bottom w:w="0" w:type="dxa"/>
          <w:right w:w="0" w:type="dxa"/>
        </w:tblCellMar>
      </w:tblPr>
      <w:tblGrid>
        <w:gridCol w:w="23"/>
        <w:gridCol w:w="170"/>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Viskase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842" w:type="dxa"/>
        <w:jc w:val="center"/>
        <w:tblInd w:w="0" w:type="dxa"/>
        <w:tblLayout w:type="fixed"/>
        <w:tblCellMar>
          <w:top w:w="0" w:type="dxa"/>
          <w:left w:w="0" w:type="dxa"/>
          <w:bottom w:w="0" w:type="dxa"/>
          <w:right w:w="0" w:type="dxa"/>
        </w:tblCellMar>
      </w:tblPr>
      <w:tblGrid>
        <w:gridCol w:w="1366"/>
        <w:gridCol w:w="247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867410" cy="29210"/>
                      <wp:effectExtent l="0" t="0" r="0" b="0"/>
                      <wp:wrapNone/>
                      <wp:docPr id="513" name="Frame513"/>
                      <a:graphic xmlns:a="http://schemas.openxmlformats.org/drawingml/2006/main">
                        <a:graphicData uri="http://schemas.microsoft.com/office/word/2010/wordprocessingShape">
                          <wps:wsp>
                            <wps:cNvSpPr txBox="1"/>
                            <wps:spPr>
                              <a:xfrm>
                                <a:off x="0" y="0"/>
                                <a:ext cx="867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572895" cy="29210"/>
                      <wp:effectExtent l="0" t="0" r="0" b="0"/>
                      <wp:wrapNone/>
                      <wp:docPr id="514" name="Frame514"/>
                      <a:graphic xmlns:a="http://schemas.openxmlformats.org/drawingml/2006/main">
                        <a:graphicData uri="http://schemas.microsoft.com/office/word/2010/wordprocessingShape">
                          <wps:wsp>
                            <wps:cNvSpPr txBox="1"/>
                            <wps:spPr>
                              <a:xfrm>
                                <a:off x="0" y="0"/>
                                <a:ext cx="1572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 2026</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D. Davis</w:t>
            </w:r>
          </w:p>
        </w:tc>
      </w:tr>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D. Davis</w:t>
            </w:r>
          </w:p>
        </w:tc>
      </w:tr>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29" w:name="enzn-20260630xex31d2.htm"/>
      <w:bookmarkStart w:id="1930" w:name="ksenzn20260630xex31d2"/>
      <w:bookmarkEnd w:id="1929"/>
      <w:bookmarkEnd w:id="1930"/>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Michael Blecic, certify that:</w:t>
      </w:r>
    </w:p>
    <w:tbl>
      <w:tblPr>
        <w:tblW w:w="9453" w:type="dxa"/>
        <w:jc w:val="left"/>
        <w:tblInd w:w="0" w:type="dxa"/>
        <w:tblLayout w:type="fixed"/>
        <w:tblCellMar>
          <w:top w:w="0" w:type="dxa"/>
          <w:left w:w="0" w:type="dxa"/>
          <w:bottom w:w="0" w:type="dxa"/>
          <w:right w:w="0" w:type="dxa"/>
        </w:tblCellMar>
      </w:tblPr>
      <w:tblGrid>
        <w:gridCol w:w="23"/>
        <w:gridCol w:w="170"/>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2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Viskase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512" w:type="dxa"/>
        <w:jc w:val="center"/>
        <w:tblInd w:w="0" w:type="dxa"/>
        <w:tblLayout w:type="fixed"/>
        <w:tblCellMar>
          <w:top w:w="0" w:type="dxa"/>
          <w:left w:w="0" w:type="dxa"/>
          <w:bottom w:w="0" w:type="dxa"/>
          <w:right w:w="0" w:type="dxa"/>
        </w:tblCellMar>
      </w:tblPr>
      <w:tblGrid>
        <w:gridCol w:w="1366"/>
        <w:gridCol w:w="514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867410" cy="29210"/>
                      <wp:effectExtent l="0" t="0" r="0" b="0"/>
                      <wp:wrapNone/>
                      <wp:docPr id="515" name="Frame515"/>
                      <a:graphic xmlns:a="http://schemas.openxmlformats.org/drawingml/2006/main">
                        <a:graphicData uri="http://schemas.microsoft.com/office/word/2010/wordprocessingShape">
                          <wps:wsp>
                            <wps:cNvSpPr txBox="1"/>
                            <wps:spPr>
                              <a:xfrm>
                                <a:off x="0" y="0"/>
                                <a:ext cx="867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268345" cy="29210"/>
                      <wp:effectExtent l="0" t="0" r="0" b="0"/>
                      <wp:wrapNone/>
                      <wp:docPr id="516" name="Frame516"/>
                      <a:graphic xmlns:a="http://schemas.openxmlformats.org/drawingml/2006/main">
                        <a:graphicData uri="http://schemas.microsoft.com/office/word/2010/wordprocessingShape">
                          <wps:wsp>
                            <wps:cNvSpPr txBox="1"/>
                            <wps:spPr>
                              <a:xfrm>
                                <a:off x="0" y="0"/>
                                <a:ext cx="32683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 2026</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Blecic</w:t>
            </w:r>
          </w:p>
        </w:tc>
      </w:tr>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Blecic</w:t>
            </w:r>
          </w:p>
        </w:tc>
      </w:tr>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31" w:name="enzn-20260630xex32d1.htm"/>
      <w:bookmarkStart w:id="1932" w:name="ksenzn20260630xex32d1"/>
      <w:bookmarkEnd w:id="1931"/>
      <w:bookmarkEnd w:id="193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Thomas D. Davis, the Chief Executive Officer (Principal Executive Officer), of Viskase Holdings,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The Quarterly Report on Form 10-Q for the period ended June 30, 2026 (the “Report”) of the Company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392" w:type="dxa"/>
        <w:jc w:val="center"/>
        <w:tblInd w:w="0" w:type="dxa"/>
        <w:tblLayout w:type="fixed"/>
        <w:tblCellMar>
          <w:top w:w="0" w:type="dxa"/>
          <w:left w:w="0" w:type="dxa"/>
          <w:bottom w:w="0" w:type="dxa"/>
          <w:right w:w="0" w:type="dxa"/>
        </w:tblCellMar>
      </w:tblPr>
      <w:tblGrid>
        <w:gridCol w:w="1951"/>
        <w:gridCol w:w="44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238885" cy="29210"/>
                      <wp:effectExtent l="0" t="0" r="0" b="0"/>
                      <wp:wrapNone/>
                      <wp:docPr id="517" name="Frame517"/>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820670" cy="29210"/>
                      <wp:effectExtent l="0" t="0" r="0" b="0"/>
                      <wp:wrapNone/>
                      <wp:docPr id="518" name="Frame518"/>
                      <a:graphic xmlns:a="http://schemas.openxmlformats.org/drawingml/2006/main">
                        <a:graphicData uri="http://schemas.microsoft.com/office/word/2010/wordprocessingShape">
                          <wps:wsp>
                            <wps:cNvSpPr txBox="1"/>
                            <wps:spPr>
                              <a:xfrm>
                                <a:off x="0" y="0"/>
                                <a:ext cx="2820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3, 2026</w:t>
            </w:r>
          </w:p>
        </w:tc>
        <w:tc>
          <w:tcPr>
            <w:tcW w:w="4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D. Davis</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D. Davis</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33" w:name="enzn-20260630xex32d2.htm"/>
      <w:bookmarkStart w:id="1934" w:name="ksenzn20260630xex32d2"/>
      <w:bookmarkEnd w:id="1933"/>
      <w:bookmarkEnd w:id="193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Michael Blecic, the Chief Financial Officer (Principal Financial Officer and Principal Accounting Officer), of Viskase Holdings,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Quarterly Report on Form 10-Q for the period ended June 30, 2026 (the “Report”) of the Company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9002" w:type="dxa"/>
        <w:jc w:val="center"/>
        <w:tblInd w:w="0" w:type="dxa"/>
        <w:tblLayout w:type="fixed"/>
        <w:tblCellMar>
          <w:top w:w="0" w:type="dxa"/>
          <w:left w:w="0" w:type="dxa"/>
          <w:bottom w:w="0" w:type="dxa"/>
          <w:right w:w="0" w:type="dxa"/>
        </w:tblCellMar>
      </w:tblPr>
      <w:tblGrid>
        <w:gridCol w:w="1951"/>
        <w:gridCol w:w="705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38885" cy="29210"/>
                      <wp:effectExtent l="0" t="0" r="0" b="0"/>
                      <wp:wrapNone/>
                      <wp:docPr id="519" name="Frame519"/>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478020" cy="29210"/>
                      <wp:effectExtent l="0" t="0" r="0" b="0"/>
                      <wp:wrapNone/>
                      <wp:docPr id="520" name="Frame520"/>
                      <a:graphic xmlns:a="http://schemas.openxmlformats.org/drawingml/2006/main">
                        <a:graphicData uri="http://schemas.microsoft.com/office/word/2010/wordprocessingShape">
                          <wps:wsp>
                            <wps:cNvSpPr txBox="1"/>
                            <wps:spPr>
                              <a:xfrm>
                                <a:off x="0" y="0"/>
                                <a:ext cx="44780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3, 2026</w:t>
            </w:r>
          </w:p>
        </w:tc>
        <w:tc>
          <w:tcPr>
            <w:tcW w:w="70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7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Blecic</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7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Blecic</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7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27510/000110465925061311/tm2518511d1_ex2-1.htm" TargetMode="External"/><Relationship Id="rId3" Type="http://schemas.openxmlformats.org/officeDocument/2006/relationships/hyperlink" Target="https://www.sec.gov/Archives/edgar/data/727510/000093041310004342/c62401_ex3-1.txt" TargetMode="External"/><Relationship Id="rId4" Type="http://schemas.openxmlformats.org/officeDocument/2006/relationships/hyperlink" Target="https://www.sec.gov/Archives/edgar/data/727510/000114420413015878/v336897_ex3-2.htm" TargetMode="External"/><Relationship Id="rId5" Type="http://schemas.openxmlformats.org/officeDocument/2006/relationships/hyperlink" Target="https://www.sec.gov/Archives/edgar/data/727510/000110465920095642/tm2027628d2_ex3-2.htm" TargetMode="External"/><Relationship Id="rId6" Type="http://schemas.openxmlformats.org/officeDocument/2006/relationships/hyperlink" Target="https://www.sec.gov/Archives/edgar/data/727510/000110465920107817/tm2031479d1_ex3-1.htm" TargetMode="External"/><Relationship Id="rId7" Type="http://schemas.openxmlformats.org/officeDocument/2006/relationships/hyperlink" Target="https://www.sec.gov/Archives/edgar/data/727510/000141057822000226/enzn-20211231xex10d7.htm" TargetMode="External"/><Relationship Id="rId8" Type="http://schemas.openxmlformats.org/officeDocument/2006/relationships/hyperlink" Target="https://www.sec.gov/Archives/edgar/data/727510/000110465926033624/tm267492d15_ex3-1.htm" TargetMode="External"/><Relationship Id="rId9" Type="http://schemas.openxmlformats.org/officeDocument/2006/relationships/hyperlink" Target="https://www.sec.gov/Archives/edgar/data/727510/000110465926033624/tm267492d15_ex3-2.htm" TargetMode="External"/><Relationship Id="rId10" Type="http://schemas.openxmlformats.org/officeDocument/2006/relationships/hyperlink" Target="https://www.sec.gov/Archives/edgar/data/727510/000110465926035301/tm269894d1_ex3-1.htm" TargetMode="External"/><Relationship Id="rId11" Type="http://schemas.openxmlformats.org/officeDocument/2006/relationships/hyperlink" Target="https://www.sec.gov/Archives/edgar/data/727510/000110465926035301/tm269894d1_ex3-2.htm" TargetMode="External"/><Relationship Id="rId12" Type="http://schemas.openxmlformats.org/officeDocument/2006/relationships/hyperlink" Target="https://www.sec.gov/Archives/edgar/data/727510/000110465926055632/tm2613382d1_ex3-1.htm" TargetMode="External"/><Relationship Id="rId13" Type="http://schemas.openxmlformats.org/officeDocument/2006/relationships/hyperlink" Target="https://www.sec.gov/Archives/edgar/data/727510/000110465926008322/tm2521156d11_ex4-1.htm" TargetMode="External"/><Relationship Id="rId14" Type="http://schemas.openxmlformats.org/officeDocument/2006/relationships/hyperlink" Target="https://www.sec.gov/Archives/edgar/data/727510/000110465926021051/tm267491d2_ex4-1.htm" TargetMode="External"/><Relationship Id="rId15" Type="http://schemas.openxmlformats.org/officeDocument/2006/relationships/hyperlink" Target="https://www.sec.gov/Archives/edgar/data/727510/000110465926026169/tm267492d8_ex4-1.htm" TargetMode="External"/><Relationship Id="rId16" Type="http://schemas.openxmlformats.org/officeDocument/2006/relationships/hyperlink" Target="https://www.sec.gov/Archives/edgar/data/727510/000110465926029952/tm267491d4_ex4-1.htm" TargetMode="External"/><Relationship Id="rId17" Type="http://schemas.openxmlformats.org/officeDocument/2006/relationships/hyperlink" Target="https://www.sec.gov/Archives/edgar/data/727510/000110465926033624/tm267492d15_ex4-1.htm" TargetMode="External"/><Relationship Id="rId18" Type="http://schemas.openxmlformats.org/officeDocument/2006/relationships/hyperlink" Target="https://www.sec.gov/Archives/edgar/data/727510/000110465926055632/tm2613382d1_ex4-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20658</Words>
  <Characters>114928</Characters>
  <CharactersWithSpaces>139600</CharactersWithSpaces>
  <Paragraphs>8762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