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37"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(AMENDMENT NO.1)</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26, 2026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VISKASE HOLDINGS,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72"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000-12957</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22-2372868</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772"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7"/>
          <w:szCs w:val="17"/>
          <w:color w:val="auto"/>
        </w:rPr>
        <w:t>incorporation)</w:t>
      </w:r>
    </w:p>
    <w:p>
      <w:pPr>
        <w:sectPr>
          <w:pgSz w:w="11900" w:h="16838" w:orient="portrait"/>
          <w:cols w:equalWidth="0" w:num="1">
            <w:col w:w="11240"/>
          </w:cols>
          <w:pgMar w:left="320" w:top="772" w:right="339" w:bottom="1440" w:gutter="0" w:footer="0" w:header="0"/>
          <w:type w:val="continuous"/>
        </w:sectPr>
      </w:pPr>
    </w:p>
    <w:p>
      <w:pPr>
        <w:spacing w:after="0" w:line="214"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8"/>
          <w:szCs w:val="18"/>
          <w:b w:val="1"/>
          <w:bCs w:val="1"/>
          <w:color w:val="auto"/>
        </w:rPr>
        <w:t>333 East Butterfield Road, Suite 400</w:t>
      </w:r>
    </w:p>
    <w:p>
      <w:pPr>
        <w:spacing w:after="0" w:line="31"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Lombard, Illinois</w:t>
      </w:r>
    </w:p>
    <w:p>
      <w:pPr>
        <w:spacing w:after="0" w:line="9"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0"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60148</w:t>
      </w:r>
    </w:p>
    <w:p>
      <w:pPr>
        <w:spacing w:after="0" w:line="31"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720" w:space="720"/>
            <w:col w:w="2800"/>
          </w:cols>
          <w:pgMar w:left="320" w:top="772"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(630) 874-0700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ENZON PHARMACEUTICALS,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60" w:firstLine="8"/>
        <w:spacing w:after="0" w:line="498" w:lineRule="auto"/>
        <w:tabs>
          <w:tab w:leader="none" w:pos="22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20" w:type="dxa"/>
            <w:vAlign w:val="bottom"/>
          </w:tcPr>
          <w:p>
            <w:pPr>
              <w:spacing w:after="0"/>
              <w:rPr>
                <w:sz w:val="19"/>
                <w:szCs w:val="19"/>
                <w:color w:val="auto"/>
              </w:rPr>
            </w:pPr>
          </w:p>
        </w:tc>
        <w:tc>
          <w:tcPr>
            <w:tcW w:w="2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Amendment No. 1 on Form 8-K/A (this “</w:t>
      </w:r>
      <w:r>
        <w:rPr>
          <w:rFonts w:ascii="Times New Roman" w:cs="Times New Roman" w:eastAsia="Times New Roman" w:hAnsi="Times New Roman"/>
          <w:sz w:val="18"/>
          <w:szCs w:val="18"/>
          <w:u w:val="single" w:color="auto"/>
          <w:color w:val="auto"/>
        </w:rPr>
        <w:t>Amendment No. 1</w:t>
      </w:r>
      <w:r>
        <w:rPr>
          <w:rFonts w:ascii="Times New Roman" w:cs="Times New Roman" w:eastAsia="Times New Roman" w:hAnsi="Times New Roman"/>
          <w:sz w:val="18"/>
          <w:szCs w:val="18"/>
          <w:color w:val="auto"/>
        </w:rPr>
        <w:t>”) amends the Current Report on Form 8-K filed by Viskase Holdings, Inc., which was formerly known as Enzon Pharmaceuticals,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March 26, 2026 (the “</w:t>
      </w:r>
      <w:r>
        <w:rPr>
          <w:rFonts w:ascii="Times New Roman" w:cs="Times New Roman" w:eastAsia="Times New Roman" w:hAnsi="Times New Roman"/>
          <w:sz w:val="18"/>
          <w:szCs w:val="18"/>
          <w:u w:val="single" w:color="auto"/>
          <w:color w:val="auto"/>
        </w:rPr>
        <w:t>Original Report</w:t>
      </w:r>
      <w:r>
        <w:rPr>
          <w:rFonts w:ascii="Times New Roman" w:cs="Times New Roman" w:eastAsia="Times New Roman" w:hAnsi="Times New Roman"/>
          <w:sz w:val="18"/>
          <w:szCs w:val="18"/>
          <w:color w:val="auto"/>
        </w:rPr>
        <w:t>”), in which the Company reported, among other events, the completion of the Merger (as defined in the Original Report).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Amendment No. 1 is filed to (i) update the information in Item 9.01(a) of the Original Report to include the audited consolidated financial statements of Viskase (as defined in the Original Report) as of and for the years ended December 31, 2025 and December 2024, and (ii) update the information in Item 9.01(b) of the Original Report to include the unaudited pro forma condensed combined financial information of the Company and Viskase Companies, Inc. (“</w:t>
      </w:r>
      <w:r>
        <w:rPr>
          <w:rFonts w:ascii="Times New Roman" w:cs="Times New Roman" w:eastAsia="Times New Roman" w:hAnsi="Times New Roman"/>
          <w:sz w:val="18"/>
          <w:szCs w:val="18"/>
          <w:u w:val="single" w:color="auto"/>
          <w:color w:val="auto"/>
        </w:rPr>
        <w:t>Viskase Companies</w:t>
      </w:r>
      <w:r>
        <w:rPr>
          <w:rFonts w:ascii="Times New Roman" w:cs="Times New Roman" w:eastAsia="Times New Roman" w:hAnsi="Times New Roman"/>
          <w:sz w:val="18"/>
          <w:szCs w:val="18"/>
          <w:color w:val="auto"/>
        </w:rPr>
        <w:t>”) as of and for the year ended December 31, 2025. This Amendment No. 1 does not amend any other item of the Original Report or purport to provide an update or discussion of any developments at the Company subsequent to the filing date of the Original Report.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Capitalized terms used but not defined herein have the meanings given to them in the Original Report. In accordance with Rule 12b-15 of the Securities Exchange Act of 1934, as amended, the complete text of Item 9.01 (as amended) is included herein.</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Financial Statements of Business Acquired.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audited consolidated financial statements of Viskase Companies as of and for the years ended December 31, 2025 and 2024 and the related notes thereto have been audited by Grant Thornton LLP, Viskase Companies’ independent auditor, as set forth in its reports thereon, are incorporated herein by reference as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Pro Forma Financial Information.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of the Company as of and for the year ended December 31, 2025 is attached hereto as Exhibit 99.2 and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140"/>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jc w:val="both"/>
        <w:ind w:left="920" w:hanging="672"/>
        <w:spacing w:after="0" w:line="263" w:lineRule="auto"/>
        <w:tabs>
          <w:tab w:leader="none" w:pos="90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2.1*</w:t>
      </w:r>
      <w:r>
        <w:rPr>
          <w:sz w:val="20"/>
          <w:szCs w:val="20"/>
          <w:color w:val="auto"/>
        </w:rPr>
        <w:tab/>
      </w:r>
      <w:hyperlink r:id="rId14">
        <w:r>
          <w:rPr>
            <w:rFonts w:ascii="Times New Roman" w:cs="Times New Roman" w:eastAsia="Times New Roman" w:hAnsi="Times New Roman"/>
            <w:sz w:val="18"/>
            <w:szCs w:val="18"/>
            <w:u w:val="single" w:color="auto"/>
            <w:color w:val="0000EE"/>
          </w:rPr>
          <w:t>Agreement and Plan of Merger, dated as of June 20, 2025, by and between Enzon Pharmaceuticals, Inc., EPSC Acquisition Corp., and Viskase</w:t>
        </w:r>
      </w:hyperlink>
      <w:r>
        <w:rPr>
          <w:rFonts w:ascii="Times New Roman" w:cs="Times New Roman" w:eastAsia="Times New Roman" w:hAnsi="Times New Roman"/>
          <w:sz w:val="18"/>
          <w:szCs w:val="18"/>
          <w:u w:val="single" w:color="auto"/>
          <w:color w:val="0000EE"/>
        </w:rPr>
        <w:t xml:space="preserve"> </w:t>
      </w:r>
      <w:hyperlink r:id="rId14">
        <w:r>
          <w:rPr>
            <w:rFonts w:ascii="Times New Roman" w:cs="Times New Roman" w:eastAsia="Times New Roman" w:hAnsi="Times New Roman"/>
            <w:sz w:val="18"/>
            <w:szCs w:val="18"/>
            <w:u w:val="single" w:color="auto"/>
            <w:color w:val="0000EE"/>
          </w:rPr>
          <w:t>Companies, Inc.</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(incorporated by reference to Exhibit 2.1 to the Current Report on Form 8-K of Enzon Pharmaceuticals, Inc. filed with the</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SEC on June 23, 2025).</w:t>
      </w:r>
    </w:p>
    <w:p>
      <w:pPr>
        <w:spacing w:after="0" w:line="179" w:lineRule="exact"/>
        <w:rPr>
          <w:sz w:val="20"/>
          <w:szCs w:val="20"/>
          <w:color w:val="auto"/>
        </w:rPr>
      </w:pPr>
    </w:p>
    <w:p>
      <w:pPr>
        <w:jc w:val="both"/>
        <w:ind w:left="920" w:right="20" w:hanging="604"/>
        <w:spacing w:after="0" w:line="266" w:lineRule="auto"/>
        <w:tabs>
          <w:tab w:leader="none" w:pos="90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2.2</w:t>
      </w:r>
      <w:r>
        <w:rPr>
          <w:sz w:val="20"/>
          <w:szCs w:val="20"/>
          <w:color w:val="auto"/>
        </w:rPr>
        <w:tab/>
      </w:r>
      <w:hyperlink r:id="rId15">
        <w:r>
          <w:rPr>
            <w:rFonts w:ascii="Times New Roman" w:cs="Times New Roman" w:eastAsia="Times New Roman" w:hAnsi="Times New Roman"/>
            <w:sz w:val="18"/>
            <w:szCs w:val="18"/>
            <w:u w:val="single" w:color="auto"/>
            <w:color w:val="0000EE"/>
          </w:rPr>
          <w:t>First Amendment to Agreement and Plan of Merger, dated as of October 24, 2025, by and between Enzon Pharmaceuticals, Inc., EPSC</w:t>
        </w:r>
      </w:hyperlink>
      <w:r>
        <w:rPr>
          <w:rFonts w:ascii="Times New Roman" w:cs="Times New Roman" w:eastAsia="Times New Roman" w:hAnsi="Times New Roman"/>
          <w:sz w:val="18"/>
          <w:szCs w:val="18"/>
          <w:u w:val="single" w:color="auto"/>
          <w:color w:val="0000EE"/>
        </w:rPr>
        <w:t xml:space="preserve"> </w:t>
      </w:r>
      <w:hyperlink r:id="rId15">
        <w:r>
          <w:rPr>
            <w:rFonts w:ascii="Times New Roman" w:cs="Times New Roman" w:eastAsia="Times New Roman" w:hAnsi="Times New Roman"/>
            <w:sz w:val="18"/>
            <w:szCs w:val="18"/>
            <w:u w:val="single" w:color="auto"/>
            <w:color w:val="0000EE"/>
          </w:rPr>
          <w:t>Acquisition Corp., and Viskase Companies, Inc.</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(incorporated by reference to Exhibit 2.1 to the Current Report on Form 8-K of Enzon</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Pharmaceuticals, Inc. filed with the SEC on October 24, 2025).</w:t>
      </w:r>
    </w:p>
    <w:p>
      <w:pPr>
        <w:spacing w:after="0" w:line="176" w:lineRule="exact"/>
        <w:rPr>
          <w:sz w:val="20"/>
          <w:szCs w:val="20"/>
          <w:color w:val="auto"/>
        </w:rPr>
      </w:pPr>
    </w:p>
    <w:p>
      <w:pPr>
        <w:jc w:val="both"/>
        <w:ind w:left="920" w:hanging="649"/>
        <w:spacing w:after="0" w:line="266" w:lineRule="auto"/>
        <w:tabs>
          <w:tab w:leader="none" w:pos="90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10.1</w:t>
      </w:r>
      <w:r>
        <w:rPr>
          <w:sz w:val="20"/>
          <w:szCs w:val="20"/>
          <w:color w:val="auto"/>
        </w:rPr>
        <w:tab/>
      </w:r>
      <w:hyperlink r:id="rId16">
        <w:r>
          <w:rPr>
            <w:rFonts w:ascii="Times New Roman" w:cs="Times New Roman" w:eastAsia="Times New Roman" w:hAnsi="Times New Roman"/>
            <w:sz w:val="18"/>
            <w:szCs w:val="18"/>
            <w:u w:val="single" w:color="auto"/>
            <w:color w:val="0000EE"/>
          </w:rPr>
          <w:t>Support Agreement, dated as of June 20, 2025, by and between Icahn Enterprises Holdings L.P. and certain of its affiliates, Enzon</w:t>
        </w:r>
      </w:hyperlink>
      <w:r>
        <w:rPr>
          <w:rFonts w:ascii="Times New Roman" w:cs="Times New Roman" w:eastAsia="Times New Roman" w:hAnsi="Times New Roman"/>
          <w:sz w:val="18"/>
          <w:szCs w:val="18"/>
          <w:u w:val="single" w:color="auto"/>
          <w:color w:val="0000EE"/>
        </w:rPr>
        <w:t xml:space="preserve"> </w:t>
      </w:r>
      <w:hyperlink r:id="rId16">
        <w:r>
          <w:rPr>
            <w:rFonts w:ascii="Times New Roman" w:cs="Times New Roman" w:eastAsia="Times New Roman" w:hAnsi="Times New Roman"/>
            <w:sz w:val="18"/>
            <w:szCs w:val="18"/>
            <w:u w:val="single" w:color="auto"/>
            <w:color w:val="0000EE"/>
          </w:rPr>
          <w:t>Pharmaceuticals, Inc. and Viskase Companies, Inc.</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(incorporated by reference to Exhibit 10.1 to the Current Report on Form 8-K of Enzon</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Pharmaceuticals, Inc. filed with the SEC on June 23,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left="920" w:hanging="676"/>
        <w:spacing w:after="0" w:line="266" w:lineRule="auto"/>
        <w:tabs>
          <w:tab w:leader="none" w:pos="90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10.2</w:t>
      </w:r>
      <w:r>
        <w:rPr>
          <w:sz w:val="20"/>
          <w:szCs w:val="20"/>
          <w:color w:val="auto"/>
        </w:rPr>
        <w:tab/>
      </w:r>
      <w:hyperlink r:id="rId18">
        <w:r>
          <w:rPr>
            <w:rFonts w:ascii="Times New Roman" w:cs="Times New Roman" w:eastAsia="Times New Roman" w:hAnsi="Times New Roman"/>
            <w:sz w:val="18"/>
            <w:szCs w:val="18"/>
            <w:u w:val="single" w:color="auto"/>
            <w:color w:val="0000EE"/>
          </w:rPr>
          <w:t>First Amendment to Support Agreement, dated as of October 24, 2025, by and between Icahn Enterprises Holdings L.P. and certain of its</w:t>
        </w:r>
      </w:hyperlink>
      <w:r>
        <w:rPr>
          <w:rFonts w:ascii="Times New Roman" w:cs="Times New Roman" w:eastAsia="Times New Roman" w:hAnsi="Times New Roman"/>
          <w:sz w:val="18"/>
          <w:szCs w:val="18"/>
          <w:u w:val="single" w:color="auto"/>
          <w:color w:val="0000EE"/>
        </w:rPr>
        <w:t xml:space="preserve"> </w:t>
      </w:r>
      <w:hyperlink r:id="rId18">
        <w:r>
          <w:rPr>
            <w:rFonts w:ascii="Times New Roman" w:cs="Times New Roman" w:eastAsia="Times New Roman" w:hAnsi="Times New Roman"/>
            <w:sz w:val="18"/>
            <w:szCs w:val="18"/>
            <w:u w:val="single" w:color="auto"/>
            <w:color w:val="0000EE"/>
          </w:rPr>
          <w:t>affiliates, Enzon Pharmaceuticals, Inc. and Viskase Companies, Inc.</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(incorporated by reference to Exhibit 10.1 to the Current Report on Form</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8-K of Enzon Pharmaceuticals, Inc. filed with the SEC on October 24, 2025).</w:t>
      </w:r>
    </w:p>
    <w:p>
      <w:pPr>
        <w:spacing w:after="0" w:line="176" w:lineRule="exact"/>
        <w:rPr>
          <w:sz w:val="20"/>
          <w:szCs w:val="20"/>
          <w:color w:val="auto"/>
        </w:rPr>
      </w:pPr>
    </w:p>
    <w:p>
      <w:pPr>
        <w:ind w:left="920" w:right="200" w:hanging="676"/>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Audited Consolidated Financial Statements of Viskase Companies, Inc. and its subsidiaries as of and for the years ended December 31, 2025 and December 31, 2024.</w:t>
      </w:r>
    </w:p>
    <w:p>
      <w:pPr>
        <w:spacing w:after="0" w:line="162" w:lineRule="exact"/>
        <w:rPr>
          <w:sz w:val="20"/>
          <w:szCs w:val="20"/>
          <w:color w:val="auto"/>
        </w:rPr>
      </w:pPr>
    </w:p>
    <w:p>
      <w:pPr>
        <w:ind w:left="240"/>
        <w:spacing w:after="0"/>
        <w:tabs>
          <w:tab w:leader="none" w:pos="90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Unaudited Pro Forma Condensed Combined Financial Information of Viskase Holdings, Inc. as of and for the year ended December 31, 2025.</w:t>
      </w:r>
    </w:p>
    <w:p>
      <w:pPr>
        <w:spacing w:after="0" w:line="225" w:lineRule="exact"/>
        <w:rPr>
          <w:sz w:val="20"/>
          <w:szCs w:val="20"/>
          <w:color w:val="auto"/>
        </w:rPr>
      </w:pPr>
    </w:p>
    <w:p>
      <w:pPr>
        <w:ind w:left="920" w:hanging="640"/>
        <w:spacing w:after="0"/>
        <w:tabs>
          <w:tab w:leader="none" w:pos="9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21" w:lineRule="exact"/>
        <w:rPr>
          <w:rFonts w:ascii="Times New Roman" w:cs="Times New Roman" w:eastAsia="Times New Roman" w:hAnsi="Times New Roman"/>
          <w:sz w:val="18"/>
          <w:szCs w:val="18"/>
          <w:color w:val="auto"/>
        </w:rPr>
      </w:pPr>
    </w:p>
    <w:p>
      <w:pPr>
        <w:ind w:right="48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of the exhibits and schedules to this Exhibit have been omitted in accordance with Regulation S-K Item 601(b)(2). The Registrant agrees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furnish a copy of all omitted exhibits and schedules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rPr>
              <w:t>VISKASE HOLDINGS, INC.</w:t>
            </w:r>
          </w:p>
        </w:tc>
      </w:tr>
      <w:tr>
        <w:trPr>
          <w:trHeight w:val="216"/>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color w:val="auto"/>
              </w:rPr>
              <w:t>(Registrant)</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2026</w:t>
            </w:r>
          </w:p>
        </w:tc>
        <w:tc>
          <w:tcPr>
            <w:tcW w:w="5040" w:type="dxa"/>
            <w:vAlign w:val="bottom"/>
          </w:tcPr>
          <w:p>
            <w:pPr>
              <w:spacing w:after="0"/>
              <w:rPr>
                <w:sz w:val="18"/>
                <w:szCs w:val="18"/>
                <w:color w:val="auto"/>
              </w:rPr>
            </w:pP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D. King</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D. King</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&amp; Secretary</w:t>
            </w:r>
          </w:p>
        </w:tc>
      </w:tr>
      <w:tr>
        <w:trPr>
          <w:trHeight w:val="675"/>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 VISKASE COMPANIES, INC. AND SUBSIDIARIES</w:t>
      </w:r>
    </w:p>
    <w:p>
      <w:pPr>
        <w:spacing w:after="0" w:line="207"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Certified Public Accountants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as of December 31, 2025 and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for the years ended December 31, 2025, 2024 and 2023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(Loss) Income for the years ended December 31, 2025, 2024 and 2023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Equity for the years ended December 31, 2025, 2024 and 2023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years ended December 31, 2025, 2024 and 2023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Discussion and Analysis of Financial Condition and Results of Operations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1211580</wp:posOffset>
            </wp:positionV>
            <wp:extent cx="14312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43129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1423035" cy="282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23035" cy="28257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GRANT THORNTON LLP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43" w:lineRule="exact"/>
        <w:rPr>
          <w:sz w:val="20"/>
          <w:szCs w:val="20"/>
          <w:color w:val="auto"/>
        </w:rPr>
      </w:pPr>
    </w:p>
    <w:p>
      <w:pPr>
        <w:sectPr>
          <w:pgSz w:w="11900" w:h="16838" w:orient="portrait"/>
          <w:cols w:equalWidth="0" w:num="2">
            <w:col w:w="2140" w:space="680"/>
            <w:col w:w="8420"/>
          </w:cols>
          <w:pgMar w:left="320" w:top="1440" w:right="3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Grant Thornton Tower</w:t>
      </w:r>
    </w:p>
    <w:p>
      <w:pPr>
        <w:sectPr>
          <w:pgSz w:w="11900" w:h="16838" w:orient="portrait"/>
          <w:cols w:equalWidth="0" w:num="1">
            <w:col w:w="11240"/>
          </w:cols>
          <w:pgMar w:left="320" w:top="1440" w:right="339" w:bottom="1440" w:gutter="0" w:footer="0" w:header="0"/>
          <w:type w:val="continuous"/>
        </w:sectPr>
      </w:pPr>
    </w:p>
    <w:p>
      <w:pPr>
        <w:spacing w:after="0" w:line="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171 N. Clark Street, Suite 200 Chicago, IL 60601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Viskase Companies, Inc.</w:t>
      </w:r>
    </w:p>
    <w:p>
      <w:pPr>
        <w:spacing w:after="0" w:line="202" w:lineRule="exact"/>
        <w:rPr>
          <w:sz w:val="20"/>
          <w:szCs w:val="20"/>
          <w:color w:val="auto"/>
        </w:rPr>
      </w:pPr>
    </w:p>
    <w:p>
      <w:pPr>
        <w:sectPr>
          <w:pgSz w:w="11900" w:h="16838" w:orient="portrait"/>
          <w:cols w:equalWidth="0" w:num="2">
            <w:col w:w="2180" w:space="640"/>
            <w:col w:w="842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+1 312 856 0200</w:t>
            </w:r>
          </w:p>
        </w:tc>
        <w:tc>
          <w:tcPr>
            <w:tcW w:w="56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tc>
        <w:tc>
          <w:tcPr>
            <w:tcW w:w="0" w:type="dxa"/>
            <w:vAlign w:val="bottom"/>
          </w:tcPr>
          <w:p>
            <w:pPr>
              <w:spacing w:after="0"/>
              <w:rPr>
                <w:sz w:val="1"/>
                <w:szCs w:val="1"/>
                <w:color w:val="auto"/>
              </w:rPr>
            </w:pPr>
          </w:p>
        </w:tc>
      </w:tr>
      <w:tr>
        <w:trPr>
          <w:trHeight w:val="238"/>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color w:val="auto"/>
              </w:rPr>
              <w:t>+1 312 602 8099</w:t>
            </w:r>
          </w:p>
        </w:tc>
        <w:tc>
          <w:tcPr>
            <w:tcW w:w="560" w:type="dxa"/>
            <w:vAlign w:val="bottom"/>
          </w:tcPr>
          <w:p>
            <w:pPr>
              <w:spacing w:after="0"/>
              <w:rPr>
                <w:sz w:val="20"/>
                <w:szCs w:val="20"/>
                <w:color w:val="auto"/>
              </w:rPr>
            </w:pPr>
          </w:p>
        </w:tc>
        <w:tc>
          <w:tcPr>
            <w:tcW w:w="8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We have audited the accompanying consolidated balance sheets of Viskase Companies Inc. (a Delaware corporation)</w:t>
            </w: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and subsidiaries (the “Company”) as of December 31, 2025 and 2024, the related consolidated statements of</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operations, comprehensive (loss) income, stockholder’s equity, and cash flows for each of the three years in the</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period ended December 31, 2025, and the related notes (collectively referred to as the “consolidated financial</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statements”). In our opinion, the consolidated financial statements present fairly, in all material respects, the</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financial position of the Company as of December 31, 2025 and 2024, and the results of its operations and its cash</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flows for each of the three years in the period ended December 31, 2025, in conformity with accounting principles</w:t>
            </w: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generally accepted in the United States of America.</w:t>
            </w:r>
          </w:p>
        </w:tc>
        <w:tc>
          <w:tcPr>
            <w:tcW w:w="0" w:type="dxa"/>
            <w:vAlign w:val="bottom"/>
          </w:tcPr>
          <w:p>
            <w:pPr>
              <w:spacing w:after="0"/>
              <w:rPr>
                <w:sz w:val="1"/>
                <w:szCs w:val="1"/>
                <w:color w:val="auto"/>
              </w:rPr>
            </w:pPr>
          </w:p>
        </w:tc>
      </w:tr>
      <w:tr>
        <w:trPr>
          <w:trHeight w:val="432"/>
        </w:trPr>
        <w:tc>
          <w:tcPr>
            <w:tcW w:w="2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Going concern</w:t>
            </w:r>
          </w:p>
        </w:tc>
        <w:tc>
          <w:tcPr>
            <w:tcW w:w="0" w:type="dxa"/>
            <w:vAlign w:val="bottom"/>
          </w:tcPr>
          <w:p>
            <w:pPr>
              <w:spacing w:after="0"/>
              <w:rPr>
                <w:sz w:val="1"/>
                <w:szCs w:val="1"/>
                <w:color w:val="auto"/>
              </w:rPr>
            </w:pPr>
          </w:p>
        </w:tc>
      </w:tr>
      <w:tr>
        <w:trPr>
          <w:trHeight w:val="414"/>
        </w:trPr>
        <w:tc>
          <w:tcPr>
            <w:tcW w:w="2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concern. As discussed in Note 1 to the financial statements, the Company is dependent on its Senior Credit Facility</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which reaches maturity in August 2026 and has stated that substantial doubt exists about the Company’s ability to</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continue as a going concern. Management’s evaluation of the events and conditions and management’s plans</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regarding these matters are also described in Note 1. The financial statements do not include any adjustments that</w:t>
            </w: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might result from the outcome of this uncertainty. Our opinion is not modified with respect to this matter.</w:t>
            </w:r>
          </w:p>
        </w:tc>
        <w:tc>
          <w:tcPr>
            <w:tcW w:w="0" w:type="dxa"/>
            <w:vAlign w:val="bottom"/>
          </w:tcPr>
          <w:p>
            <w:pPr>
              <w:spacing w:after="0"/>
              <w:rPr>
                <w:sz w:val="1"/>
                <w:szCs w:val="1"/>
                <w:color w:val="auto"/>
              </w:rPr>
            </w:pPr>
          </w:p>
        </w:tc>
      </w:tr>
      <w:tr>
        <w:trPr>
          <w:trHeight w:val="432"/>
        </w:trPr>
        <w:tc>
          <w:tcPr>
            <w:tcW w:w="2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Basis for opinion</w:t>
            </w:r>
          </w:p>
        </w:tc>
        <w:tc>
          <w:tcPr>
            <w:tcW w:w="0" w:type="dxa"/>
            <w:vAlign w:val="bottom"/>
          </w:tcPr>
          <w:p>
            <w:pPr>
              <w:spacing w:after="0"/>
              <w:rPr>
                <w:sz w:val="1"/>
                <w:szCs w:val="1"/>
                <w:color w:val="auto"/>
              </w:rPr>
            </w:pPr>
          </w:p>
        </w:tc>
      </w:tr>
      <w:tr>
        <w:trPr>
          <w:trHeight w:val="414"/>
        </w:trPr>
        <w:tc>
          <w:tcPr>
            <w:tcW w:w="2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to express an opinion on the Company’s consolidated financial statements based on our audits. We are a public</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accounting firm registered with the Public Company Accounting Oversight Board (United States) (“PCAOB”) and</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are required to be independent with respect to the Company in accordance with U.S. federal securities laws and the</w:t>
            </w: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applicable rules and regulations of the Securities and Exchange Commission and the PCAOB.</w:t>
            </w:r>
          </w:p>
        </w:tc>
        <w:tc>
          <w:tcPr>
            <w:tcW w:w="0" w:type="dxa"/>
            <w:vAlign w:val="bottom"/>
          </w:tcPr>
          <w:p>
            <w:pPr>
              <w:spacing w:after="0"/>
              <w:rPr>
                <w:sz w:val="1"/>
                <w:szCs w:val="1"/>
                <w:color w:val="auto"/>
              </w:rPr>
            </w:pPr>
          </w:p>
        </w:tc>
      </w:tr>
      <w:tr>
        <w:trPr>
          <w:trHeight w:val="414"/>
        </w:trPr>
        <w:tc>
          <w:tcPr>
            <w:tcW w:w="2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generally accepted in the United States of America. Those standards require that we plan and perform the audit to</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obtain reasonable assurance about whether the financial statements are free of material misstatement, whether due to</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error or fraud. The Company is not required to have, nor were we engaged to perform, an audit of its internal control</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over financial reporting. As part of our audits we are required to obtain an understanding of internal control over</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financial reporting but not for the purpose of expressing an opinion on the effectiveness of the Company’s internal</w:t>
            </w: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control over financial reporting. Accordingly, we express no such opinion.</w:t>
            </w:r>
          </w:p>
        </w:tc>
        <w:tc>
          <w:tcPr>
            <w:tcW w:w="0" w:type="dxa"/>
            <w:vAlign w:val="bottom"/>
          </w:tcPr>
          <w:p>
            <w:pPr>
              <w:spacing w:after="0"/>
              <w:rPr>
                <w:sz w:val="1"/>
                <w:szCs w:val="1"/>
                <w:color w:val="auto"/>
              </w:rPr>
            </w:pPr>
          </w:p>
        </w:tc>
      </w:tr>
      <w:tr>
        <w:trPr>
          <w:trHeight w:val="216"/>
        </w:trPr>
        <w:tc>
          <w:tcPr>
            <w:tcW w:w="22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8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GT.COM</w:t>
            </w:r>
          </w:p>
        </w:tc>
        <w:tc>
          <w:tcPr>
            <w:tcW w:w="560" w:type="dxa"/>
            <w:vAlign w:val="bottom"/>
          </w:tcPr>
          <w:p>
            <w:pPr>
              <w:spacing w:after="0"/>
              <w:rPr>
                <w:sz w:val="24"/>
                <w:szCs w:val="24"/>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Grant Thornton LLP is a U.S. member firm of Grant Thornton International Ltd (GTIL). GTIL and each of its</w:t>
            </w:r>
          </w:p>
        </w:tc>
        <w:tc>
          <w:tcPr>
            <w:tcW w:w="0" w:type="dxa"/>
            <w:vAlign w:val="bottom"/>
          </w:tcPr>
          <w:p>
            <w:pPr>
              <w:spacing w:after="0"/>
              <w:rPr>
                <w:sz w:val="1"/>
                <w:szCs w:val="1"/>
                <w:color w:val="auto"/>
              </w:rPr>
            </w:pPr>
          </w:p>
        </w:tc>
      </w:tr>
      <w:tr>
        <w:trPr>
          <w:trHeight w:val="234"/>
        </w:trPr>
        <w:tc>
          <w:tcPr>
            <w:tcW w:w="226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member firms are separate legal entities and are not a worldwide partnership.</w:t>
            </w:r>
          </w:p>
        </w:tc>
        <w:tc>
          <w:tcPr>
            <w:tcW w:w="0" w:type="dxa"/>
            <w:vAlign w:val="bottom"/>
          </w:tcPr>
          <w:p>
            <w:pPr>
              <w:spacing w:after="0"/>
              <w:rPr>
                <w:sz w:val="1"/>
                <w:szCs w:val="1"/>
                <w:color w:val="auto"/>
              </w:rPr>
            </w:pPr>
          </w:p>
        </w:tc>
      </w:tr>
      <w:tr>
        <w:trPr>
          <w:trHeight w:val="945"/>
        </w:trPr>
        <w:tc>
          <w:tcPr>
            <w:tcW w:w="2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type w:val="continuous"/>
        </w:sectPr>
      </w:pPr>
    </w:p>
    <w:bookmarkStart w:id="6" w:name="page7"/>
    <w:bookmarkEnd w:id="6"/>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1423035" cy="282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423035" cy="282575"/>
                    </a:xfrm>
                    <a:prstGeom prst="rect">
                      <a:avLst/>
                    </a:prstGeom>
                    <a:noFill/>
                  </pic:spPr>
                </pic:pic>
              </a:graphicData>
            </a:graphic>
          </wp:anchor>
        </w:drawing>
      </w:r>
    </w:p>
    <w:p>
      <w:pPr>
        <w:jc w:val="both"/>
        <w:ind w:left="1700"/>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ind w:left="1700"/>
        <w:spacing w:after="0" w:line="261"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7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Other information included in the annual report</w:t>
      </w:r>
    </w:p>
    <w:p>
      <w:pPr>
        <w:spacing w:after="0" w:line="229" w:lineRule="exact"/>
        <w:rPr>
          <w:sz w:val="20"/>
          <w:szCs w:val="20"/>
          <w:color w:val="auto"/>
        </w:rPr>
      </w:pPr>
    </w:p>
    <w:p>
      <w:pPr>
        <w:jc w:val="both"/>
        <w:ind w:left="1700"/>
        <w:spacing w:after="0" w:line="261" w:lineRule="auto"/>
        <w:rPr>
          <w:sz w:val="20"/>
          <w:szCs w:val="20"/>
          <w:color w:val="auto"/>
        </w:rPr>
      </w:pPr>
      <w:r>
        <w:rPr>
          <w:rFonts w:ascii="Times New Roman" w:cs="Times New Roman" w:eastAsia="Times New Roman" w:hAnsi="Times New Roman"/>
          <w:sz w:val="18"/>
          <w:szCs w:val="18"/>
          <w:color w:val="auto"/>
        </w:rPr>
        <w:t>Management is responsible for the other information included in the annual report. The other information comprises the management’s discussion and analysis of financial condition and results of operations. Our opinion on the consolidated financial statements does not cover the other information, and we do not express an opinion or any form of assurance thereon.</w:t>
      </w:r>
    </w:p>
    <w:p>
      <w:pPr>
        <w:spacing w:after="0" w:line="180" w:lineRule="exact"/>
        <w:rPr>
          <w:sz w:val="20"/>
          <w:szCs w:val="20"/>
          <w:color w:val="auto"/>
        </w:rPr>
      </w:pPr>
    </w:p>
    <w:p>
      <w:pPr>
        <w:jc w:val="both"/>
        <w:ind w:left="1700"/>
        <w:spacing w:after="0" w:line="258" w:lineRule="auto"/>
        <w:rPr>
          <w:sz w:val="20"/>
          <w:szCs w:val="20"/>
          <w:color w:val="auto"/>
        </w:rPr>
      </w:pPr>
      <w:r>
        <w:rPr>
          <w:rFonts w:ascii="Times New Roman" w:cs="Times New Roman" w:eastAsia="Times New Roman" w:hAnsi="Times New Roman"/>
          <w:sz w:val="18"/>
          <w:szCs w:val="18"/>
          <w:color w:val="auto"/>
        </w:rPr>
        <w:t>In connection with our audit of the consolidated financial statements, our responsibility is to read the other information and consider whether a material inconsistency exists between the other information and the consolidated financial statements, or the other information otherwise appears to be materially misstated. If, based on the work performed, we conclude that an uncorrected material misstatement of the other information exists, we are required to describe it in our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128270</wp:posOffset>
            </wp:positionV>
            <wp:extent cx="1628775"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6287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We have served as the Company’s auditor since 2003.</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March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451485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VISKASE COMPANIES,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U.S. dollars, except for number of shares and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p>
        </w:tc>
        <w:tc>
          <w:tcPr>
            <w:tcW w:w="1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December 31, 2025</w:t>
            </w: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10"/>
        </w:trPr>
        <w:tc>
          <w:tcPr>
            <w:tcW w:w="7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9,217</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5,704</w:t>
            </w: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Receivables, net of allowance of $2,941 and $2,657</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60,182</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74,809</w:t>
            </w:r>
          </w:p>
        </w:tc>
      </w:tr>
      <w:tr>
        <w:trPr>
          <w:trHeight w:val="216"/>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96,755</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108,968</w:t>
            </w:r>
          </w:p>
        </w:tc>
      </w:tr>
      <w:tr>
        <w:trPr>
          <w:trHeight w:val="230"/>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42,494</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46,204</w:t>
            </w:r>
          </w:p>
        </w:tc>
      </w:tr>
      <w:tr>
        <w:trPr>
          <w:trHeight w:val="209"/>
        </w:trPr>
        <w:tc>
          <w:tcPr>
            <w:tcW w:w="75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208,648</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482,326</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438,086</w:t>
            </w:r>
          </w:p>
        </w:tc>
      </w:tr>
      <w:tr>
        <w:trPr>
          <w:trHeight w:val="23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(341,022)</w:t>
            </w: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(314,351)</w:t>
            </w:r>
          </w:p>
        </w:tc>
      </w:tr>
      <w:tr>
        <w:trPr>
          <w:trHeight w:val="209"/>
        </w:trPr>
        <w:tc>
          <w:tcPr>
            <w:tcW w:w="75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141,304</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19,946</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19,190</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9,842</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10,899</w:t>
            </w: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13,401</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13,381</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3,131</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2,820</w:t>
            </w:r>
          </w:p>
        </w:tc>
      </w:tr>
      <w:tr>
        <w:trPr>
          <w:trHeight w:val="229"/>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5,870</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16,011</w:t>
            </w:r>
          </w:p>
        </w:tc>
      </w:tr>
      <w:tr>
        <w:trPr>
          <w:trHeight w:val="263"/>
        </w:trPr>
        <w:tc>
          <w:tcPr>
            <w:tcW w:w="75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402,142</w:t>
            </w:r>
          </w:p>
        </w:tc>
        <w:tc>
          <w:tcPr>
            <w:tcW w:w="220" w:type="dxa"/>
            <w:vAlign w:val="bottom"/>
            <w:tcBorders>
              <w:bottom w:val="single" w:sz="8" w:color="CCEEFF"/>
            </w:tcBorders>
          </w:tcPr>
          <w:p>
            <w:pPr>
              <w:spacing w:after="0"/>
              <w:rPr>
                <w:sz w:val="22"/>
                <w:szCs w:val="22"/>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421,721</w:t>
            </w:r>
          </w:p>
        </w:tc>
        <w:tc>
          <w:tcPr>
            <w:tcW w:w="100" w:type="dxa"/>
            <w:vAlign w:val="bottom"/>
            <w:tcBorders>
              <w:bottom w:val="single" w:sz="8" w:color="CCEEFF"/>
            </w:tcBorders>
          </w:tcPr>
          <w:p>
            <w:pPr>
              <w:spacing w:after="0"/>
              <w:rPr>
                <w:sz w:val="22"/>
                <w:szCs w:val="22"/>
                <w:color w:val="auto"/>
              </w:rPr>
            </w:pPr>
          </w:p>
        </w:tc>
      </w:tr>
      <w:tr>
        <w:trPr>
          <w:trHeight w:val="197"/>
        </w:trPr>
        <w:tc>
          <w:tcPr>
            <w:tcW w:w="75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debt</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141,774</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44,530</w:t>
            </w:r>
          </w:p>
        </w:tc>
      </w:tr>
      <w:tr>
        <w:trPr>
          <w:trHeight w:val="216"/>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44,342</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35,496</w:t>
            </w: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24,282</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23,167</w:t>
            </w: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4,119</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4,497</w:t>
            </w:r>
          </w:p>
        </w:tc>
      </w:tr>
      <w:tr>
        <w:trPr>
          <w:trHeight w:val="210"/>
        </w:trPr>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214,517</w:t>
            </w:r>
          </w:p>
        </w:tc>
        <w:tc>
          <w:tcPr>
            <w:tcW w:w="22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107,690</w:t>
            </w: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99,064</w:t>
            </w: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23,597</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25,418</w:t>
            </w:r>
          </w:p>
        </w:tc>
      </w:tr>
      <w:tr>
        <w:trPr>
          <w:trHeight w:val="216"/>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1,557</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2,339</w:t>
            </w:r>
          </w:p>
        </w:tc>
      </w:tr>
      <w:tr>
        <w:trPr>
          <w:trHeight w:val="21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18,111</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17,220</w:t>
            </w:r>
          </w:p>
        </w:tc>
      </w:tr>
      <w:tr>
        <w:trPr>
          <w:trHeight w:val="216"/>
        </w:trPr>
        <w:tc>
          <w:tcPr>
            <w:tcW w:w="75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135,422,427 shares issued and 134,617,157 outstanding as of</w:t>
            </w: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2025</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1,346</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1,040</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Paid in capital</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212,037</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182,343</w:t>
            </w: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(11,881)</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53,613</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Less 805,270 treasury shares, at cost</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(298)</w:t>
            </w: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w:t>
            </w:r>
          </w:p>
        </w:tc>
      </w:tr>
      <w:tr>
        <w:trPr>
          <w:trHeight w:val="229"/>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(55,361)</w:t>
            </w: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(65,386)</w:t>
            </w:r>
          </w:p>
        </w:tc>
      </w:tr>
      <w:tr>
        <w:trPr>
          <w:trHeight w:val="210"/>
        </w:trPr>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Viskase stockholders' equity</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145,843</w:t>
            </w:r>
          </w:p>
        </w:tc>
        <w:tc>
          <w:tcPr>
            <w:tcW w:w="22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171,312</w:t>
            </w:r>
          </w:p>
        </w:tc>
        <w:tc>
          <w:tcPr>
            <w:tcW w:w="100" w:type="dxa"/>
            <w:vAlign w:val="bottom"/>
          </w:tcPr>
          <w:p>
            <w:pPr>
              <w:spacing w:after="0"/>
              <w:rPr>
                <w:sz w:val="18"/>
                <w:szCs w:val="18"/>
                <w:color w:val="auto"/>
              </w:rPr>
            </w:pPr>
          </w:p>
        </w:tc>
      </w:tr>
      <w:tr>
        <w:trPr>
          <w:trHeight w:val="230"/>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Deficit attributable to non-controlling interest</w:t>
            </w: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(1,483)</w:t>
            </w: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(1,322)</w:t>
            </w:r>
          </w:p>
        </w:tc>
      </w:tr>
      <w:tr>
        <w:trPr>
          <w:trHeight w:val="210"/>
        </w:trPr>
        <w:tc>
          <w:tcPr>
            <w:tcW w:w="7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144,360</w:t>
            </w:r>
          </w:p>
        </w:tc>
        <w:tc>
          <w:tcPr>
            <w:tcW w:w="220" w:type="dxa"/>
            <w:vAlign w:val="bottom"/>
            <w:tcBorders>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169,990</w:t>
            </w:r>
          </w:p>
        </w:tc>
        <w:tc>
          <w:tcPr>
            <w:tcW w:w="100" w:type="dxa"/>
            <w:vAlign w:val="bottom"/>
            <w:tcBorders>
              <w:bottom w:val="single" w:sz="8" w:color="CCEEFF"/>
            </w:tcBorders>
          </w:tcPr>
          <w:p>
            <w:pPr>
              <w:spacing w:after="0"/>
              <w:rPr>
                <w:sz w:val="18"/>
                <w:szCs w:val="18"/>
                <w:color w:val="auto"/>
              </w:rPr>
            </w:pPr>
          </w:p>
        </w:tc>
      </w:tr>
      <w:tr>
        <w:trPr>
          <w:trHeight w:val="223"/>
        </w:trPr>
        <w:tc>
          <w:tcPr>
            <w:tcW w:w="75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402,142</w:t>
            </w:r>
          </w:p>
        </w:tc>
        <w:tc>
          <w:tcPr>
            <w:tcW w:w="2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421,721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VISKASE COMPANIES, INC. AND SUBSIDIARIES CONSOLIDATED STATEMENTS OF OPERATIONS (Amounts in thousands of U.S. dollars, except for number of shares and per share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7"/>
              </w:rPr>
              <w:t>Year</w:t>
            </w:r>
          </w:p>
        </w:tc>
        <w:tc>
          <w:tcPr>
            <w:tcW w:w="14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7"/>
              </w:rPr>
              <w:t>Year</w:t>
            </w:r>
          </w:p>
        </w:tc>
        <w:tc>
          <w:tcPr>
            <w:tcW w:w="11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1"/>
              </w:rPr>
              <w:t>Year</w:t>
            </w:r>
          </w:p>
        </w:tc>
      </w:tr>
      <w:tr>
        <w:trPr>
          <w:trHeight w:val="216"/>
        </w:trPr>
        <w:tc>
          <w:tcPr>
            <w:tcW w:w="5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9"/>
              </w:rPr>
              <w:t>Ended</w:t>
            </w:r>
          </w:p>
        </w:tc>
        <w:tc>
          <w:tcPr>
            <w:tcW w:w="14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9"/>
              </w:rPr>
              <w:t>Ended</w:t>
            </w:r>
          </w:p>
        </w:tc>
        <w:tc>
          <w:tcPr>
            <w:tcW w:w="11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Ended</w:t>
            </w:r>
          </w:p>
        </w:tc>
      </w:tr>
      <w:tr>
        <w:trPr>
          <w:trHeight w:val="229"/>
        </w:trPr>
        <w:tc>
          <w:tcPr>
            <w:tcW w:w="5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9"/>
              </w:rPr>
              <w:t>December</w:t>
            </w:r>
          </w:p>
        </w:tc>
        <w:tc>
          <w:tcPr>
            <w:tcW w:w="14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9"/>
              </w:rPr>
              <w:t>December</w:t>
            </w:r>
          </w:p>
        </w:tc>
        <w:tc>
          <w:tcPr>
            <w:tcW w:w="11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December</w:t>
            </w:r>
          </w:p>
        </w:tc>
      </w:tr>
      <w:tr>
        <w:trPr>
          <w:trHeight w:val="234"/>
        </w:trPr>
        <w:tc>
          <w:tcPr>
            <w:tcW w:w="556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31, 2025</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31, 2024</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31, 2023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364,356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327,601</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335,945</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352,221</w:t>
            </w:r>
          </w:p>
        </w:tc>
        <w:tc>
          <w:tcPr>
            <w:tcW w:w="80" w:type="dxa"/>
            <w:vAlign w:val="bottom"/>
            <w:shd w:val="clear" w:color="auto" w:fill="CCEEFF"/>
          </w:tcPr>
          <w:p>
            <w:pPr>
              <w:spacing w:after="0"/>
              <w:rPr>
                <w:sz w:val="19"/>
                <w:szCs w:val="19"/>
                <w:color w:val="auto"/>
              </w:rPr>
            </w:pPr>
          </w:p>
        </w:tc>
      </w:tr>
      <w:tr>
        <w:trPr>
          <w:trHeight w:val="209"/>
        </w:trPr>
        <w:tc>
          <w:tcPr>
            <w:tcW w:w="5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36,755</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67,830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93,763</w:t>
            </w:r>
          </w:p>
        </w:tc>
        <w:tc>
          <w:tcPr>
            <w:tcW w:w="8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52,471</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48,421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52,436</w:t>
            </w:r>
          </w:p>
        </w:tc>
        <w:tc>
          <w:tcPr>
            <w:tcW w:w="80" w:type="dxa"/>
            <w:vAlign w:val="bottom"/>
            <w:shd w:val="clear" w:color="auto" w:fill="CCEEFF"/>
          </w:tcPr>
          <w:p>
            <w:pPr>
              <w:spacing w:after="0"/>
              <w:rPr>
                <w:sz w:val="18"/>
                <w:szCs w:val="18"/>
                <w:color w:val="auto"/>
              </w:rPr>
            </w:pPr>
          </w:p>
        </w:tc>
      </w:tr>
      <w:tr>
        <w:trPr>
          <w:trHeight w:val="216"/>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1,552</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1,609</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1,606</w:t>
            </w:r>
          </w:p>
        </w:tc>
        <w:tc>
          <w:tcPr>
            <w:tcW w:w="80" w:type="dxa"/>
            <w:vAlign w:val="bottom"/>
          </w:tcPr>
          <w:p>
            <w:pPr>
              <w:spacing w:after="0"/>
              <w:rPr>
                <w:sz w:val="18"/>
                <w:szCs w:val="18"/>
                <w:color w:val="auto"/>
              </w:rPr>
            </w:pPr>
          </w:p>
        </w:tc>
      </w:tr>
      <w:tr>
        <w:trPr>
          <w:trHeight w:val="216"/>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impairment charge</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16,659</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shd w:val="clear" w:color="auto" w:fill="CCEEFF"/>
          </w:tcPr>
          <w:p>
            <w:pPr>
              <w:spacing w:after="0"/>
              <w:rPr>
                <w:sz w:val="18"/>
                <w:szCs w:val="18"/>
                <w:color w:val="auto"/>
              </w:rPr>
            </w:pPr>
          </w:p>
        </w:tc>
      </w:tr>
      <w:tr>
        <w:trPr>
          <w:trHeight w:val="229"/>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expense</w:t>
            </w: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7,054</w:t>
            </w: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1,917</w:t>
            </w:r>
          </w:p>
        </w:tc>
        <w:tc>
          <w:tcPr>
            <w:tcW w:w="1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10"/>
        </w:trPr>
        <w:tc>
          <w:tcPr>
            <w:tcW w:w="55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(40,981)</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15,435</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39,383</w:t>
            </w:r>
          </w:p>
        </w:tc>
        <w:tc>
          <w:tcPr>
            <w:tcW w:w="8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9,701</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11,032</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12,018</w:t>
            </w:r>
          </w:p>
        </w:tc>
        <w:tc>
          <w:tcPr>
            <w:tcW w:w="80" w:type="dxa"/>
            <w:vAlign w:val="bottom"/>
          </w:tcPr>
          <w:p>
            <w:pPr>
              <w:spacing w:after="0"/>
              <w:rPr>
                <w:sz w:val="18"/>
                <w:szCs w:val="18"/>
                <w:color w:val="auto"/>
              </w:rPr>
            </w:pPr>
          </w:p>
        </w:tc>
      </w:tr>
      <w:tr>
        <w:trPr>
          <w:trHeight w:val="230"/>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2,906</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10,532</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10,395</w:t>
            </w:r>
          </w:p>
        </w:tc>
        <w:tc>
          <w:tcPr>
            <w:tcW w:w="80" w:type="dxa"/>
            <w:vAlign w:val="bottom"/>
            <w:shd w:val="clear" w:color="auto" w:fill="CCEEFF"/>
          </w:tcPr>
          <w:p>
            <w:pPr>
              <w:spacing w:after="0"/>
              <w:rPr>
                <w:sz w:val="19"/>
                <w:szCs w:val="19"/>
                <w:color w:val="auto"/>
              </w:rPr>
            </w:pPr>
          </w:p>
        </w:tc>
      </w:tr>
      <w:tr>
        <w:trPr>
          <w:trHeight w:val="209"/>
        </w:trPr>
        <w:tc>
          <w:tcPr>
            <w:tcW w:w="5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(53,588)</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(6,129)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16,970</w:t>
            </w:r>
          </w:p>
        </w:tc>
        <w:tc>
          <w:tcPr>
            <w:tcW w:w="8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12,067</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(670)</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3,534</w:t>
            </w:r>
          </w:p>
        </w:tc>
        <w:tc>
          <w:tcPr>
            <w:tcW w:w="80" w:type="dxa"/>
            <w:vAlign w:val="bottom"/>
            <w:shd w:val="clear" w:color="auto" w:fill="CCEEFF"/>
          </w:tcPr>
          <w:p>
            <w:pPr>
              <w:spacing w:after="0"/>
              <w:rPr>
                <w:sz w:val="19"/>
                <w:szCs w:val="19"/>
                <w:color w:val="auto"/>
              </w:rPr>
            </w:pPr>
          </w:p>
        </w:tc>
      </w:tr>
      <w:tr>
        <w:trPr>
          <w:trHeight w:val="210"/>
        </w:trPr>
        <w:tc>
          <w:tcPr>
            <w:tcW w:w="5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(65,655)</w:t>
            </w: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(5,459)</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13,436</w:t>
            </w:r>
          </w:p>
        </w:tc>
        <w:tc>
          <w:tcPr>
            <w:tcW w:w="80" w:type="dxa"/>
            <w:vAlign w:val="bottom"/>
            <w:shd w:val="clear" w:color="auto" w:fill="CCEEFF"/>
          </w:tcPr>
          <w:p>
            <w:pPr>
              <w:spacing w:after="0"/>
              <w:rPr>
                <w:sz w:val="21"/>
                <w:szCs w:val="2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55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r>
      <w:tr>
        <w:trPr>
          <w:trHeight w:val="209"/>
        </w:trPr>
        <w:tc>
          <w:tcPr>
            <w:tcW w:w="5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Viskase Companies, Inc</w:t>
            </w:r>
          </w:p>
        </w:tc>
        <w:tc>
          <w:tcPr>
            <w:tcW w:w="1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(65,494)</w:t>
            </w: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(5,360)</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13,506</w:t>
            </w:r>
          </w:p>
        </w:tc>
        <w:tc>
          <w:tcPr>
            <w:tcW w:w="80" w:type="dxa"/>
            <w:vAlign w:val="bottom"/>
            <w:shd w:val="clear" w:color="auto" w:fill="CCEEFF"/>
          </w:tcPr>
          <w:p>
            <w:pPr>
              <w:spacing w:after="0"/>
              <w:rPr>
                <w:sz w:val="21"/>
                <w:szCs w:val="2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6"/>
        </w:trPr>
        <w:tc>
          <w:tcPr>
            <w:tcW w:w="55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BASIC AND DILUTED</w:t>
            </w: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134,617,157</w:t>
            </w:r>
          </w:p>
        </w:tc>
        <w:tc>
          <w:tcPr>
            <w:tcW w:w="16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103,190,665</w:t>
            </w:r>
          </w:p>
        </w:tc>
        <w:tc>
          <w:tcPr>
            <w:tcW w:w="18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103,190,665</w:t>
            </w:r>
          </w:p>
        </w:tc>
        <w:tc>
          <w:tcPr>
            <w:tcW w:w="80" w:type="dxa"/>
            <w:vAlign w:val="bottom"/>
          </w:tcPr>
          <w:p>
            <w:pPr>
              <w:spacing w:after="0"/>
              <w:rPr>
                <w:sz w:val="24"/>
                <w:szCs w:val="24"/>
                <w:color w:val="auto"/>
              </w:rPr>
            </w:pPr>
          </w:p>
        </w:tc>
      </w:tr>
      <w:tr>
        <w:trPr>
          <w:trHeight w:val="196"/>
        </w:trPr>
        <w:tc>
          <w:tcPr>
            <w:tcW w:w="556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PER SHARE AMOUNTS: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BASIC AND DILUTED</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(0.49)  $</w:t>
            </w:r>
          </w:p>
        </w:tc>
        <w:tc>
          <w:tcPr>
            <w:tcW w:w="1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(0.05)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Pr>
          <w:p>
            <w:pPr>
              <w:spacing w:after="0"/>
              <w:rPr>
                <w:sz w:val="21"/>
                <w:szCs w:val="21"/>
                <w:color w:val="auto"/>
              </w:rPr>
            </w:pPr>
          </w:p>
        </w:tc>
      </w:tr>
      <w:tr>
        <w:trPr>
          <w:trHeight w:val="20"/>
        </w:trPr>
        <w:tc>
          <w:tcPr>
            <w:tcW w:w="5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VISKASE COMPANIES, INC. AND SUBSIDIARIES CONSOLIDATED STATEMENTS OF COMPREHENSIVE (LOSS) INCOME (Amounts in thousands of U.S.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48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color w:val="auto"/>
                <w:w w:val="97"/>
              </w:rPr>
              <w:t>Year</w:t>
            </w:r>
          </w:p>
        </w:tc>
        <w:tc>
          <w:tcPr>
            <w:tcW w:w="14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color w:val="auto"/>
                <w:w w:val="97"/>
              </w:rPr>
              <w:t>Year</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1"/>
              </w:rPr>
              <w:t>Year</w:t>
            </w:r>
          </w:p>
        </w:tc>
      </w:tr>
      <w:tr>
        <w:trPr>
          <w:trHeight w:val="216"/>
        </w:trPr>
        <w:tc>
          <w:tcPr>
            <w:tcW w:w="6980" w:type="dxa"/>
            <w:vAlign w:val="bottom"/>
          </w:tcPr>
          <w:p>
            <w:pPr>
              <w:spacing w:after="0"/>
              <w:rPr>
                <w:sz w:val="18"/>
                <w:szCs w:val="18"/>
                <w:color w:val="auto"/>
              </w:rPr>
            </w:pPr>
          </w:p>
        </w:tc>
        <w:tc>
          <w:tcPr>
            <w:tcW w:w="148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color w:val="auto"/>
                <w:w w:val="99"/>
              </w:rPr>
              <w:t>Ended</w:t>
            </w:r>
          </w:p>
        </w:tc>
        <w:tc>
          <w:tcPr>
            <w:tcW w:w="14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color w:val="auto"/>
                <w:w w:val="99"/>
              </w:rPr>
              <w:t>Ended</w:t>
            </w: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Ended</w:t>
            </w:r>
          </w:p>
        </w:tc>
      </w:tr>
      <w:tr>
        <w:trPr>
          <w:trHeight w:val="230"/>
        </w:trPr>
        <w:tc>
          <w:tcPr>
            <w:tcW w:w="6980" w:type="dxa"/>
            <w:vAlign w:val="bottom"/>
          </w:tcPr>
          <w:p>
            <w:pPr>
              <w:spacing w:after="0"/>
              <w:rPr>
                <w:sz w:val="19"/>
                <w:szCs w:val="19"/>
                <w:color w:val="auto"/>
              </w:rPr>
            </w:pPr>
          </w:p>
        </w:tc>
        <w:tc>
          <w:tcPr>
            <w:tcW w:w="148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color w:val="auto"/>
                <w:w w:val="99"/>
              </w:rPr>
              <w:t>December</w:t>
            </w:r>
          </w:p>
        </w:tc>
        <w:tc>
          <w:tcPr>
            <w:tcW w:w="14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color w:val="auto"/>
                <w:w w:val="99"/>
              </w:rPr>
              <w:t>December</w:t>
            </w: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December</w:t>
            </w:r>
          </w:p>
        </w:tc>
      </w:tr>
      <w:tr>
        <w:trPr>
          <w:trHeight w:val="234"/>
        </w:trPr>
        <w:tc>
          <w:tcPr>
            <w:tcW w:w="698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31, 2025</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31, 2024</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31, 2023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(65,655)</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Pension liability adjustment</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3,554</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1,155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2,634</w:t>
            </w:r>
          </w:p>
        </w:tc>
        <w:tc>
          <w:tcPr>
            <w:tcW w:w="80" w:type="dxa"/>
            <w:vAlign w:val="bottom"/>
            <w:shd w:val="clear" w:color="auto" w:fill="CCEEFF"/>
          </w:tcPr>
          <w:p>
            <w:pPr>
              <w:spacing w:after="0"/>
              <w:rPr>
                <w:sz w:val="18"/>
                <w:szCs w:val="18"/>
                <w:color w:val="auto"/>
              </w:rPr>
            </w:pPr>
          </w:p>
        </w:tc>
      </w:tr>
      <w:tr>
        <w:trPr>
          <w:trHeight w:val="229"/>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6,471</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(7,341)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5,280</w:t>
            </w:r>
          </w:p>
        </w:tc>
        <w:tc>
          <w:tcPr>
            <w:tcW w:w="80" w:type="dxa"/>
            <w:vAlign w:val="bottom"/>
          </w:tcPr>
          <w:p>
            <w:pPr>
              <w:spacing w:after="0"/>
              <w:rPr>
                <w:sz w:val="19"/>
                <w:szCs w:val="19"/>
                <w:color w:val="auto"/>
              </w:rPr>
            </w:pPr>
          </w:p>
        </w:tc>
      </w:tr>
      <w:tr>
        <w:trPr>
          <w:trHeight w:val="210"/>
        </w:trPr>
        <w:tc>
          <w:tcPr>
            <w:tcW w:w="69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10,025</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(6,186)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7,914</w:t>
            </w:r>
          </w:p>
        </w:tc>
        <w:tc>
          <w:tcPr>
            <w:tcW w:w="80" w:type="dxa"/>
            <w:vAlign w:val="bottom"/>
          </w:tcPr>
          <w:p>
            <w:pPr>
              <w:spacing w:after="0"/>
              <w:rPr>
                <w:sz w:val="18"/>
                <w:szCs w:val="18"/>
                <w:color w:val="auto"/>
              </w:rPr>
            </w:pPr>
          </w:p>
        </w:tc>
      </w:tr>
      <w:tr>
        <w:trPr>
          <w:trHeight w:val="229"/>
        </w:trPr>
        <w:tc>
          <w:tcPr>
            <w:tcW w:w="698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63"/>
        </w:trPr>
        <w:tc>
          <w:tcPr>
            <w:tcW w:w="6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(55,630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(11,645</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69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interests</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(161)</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(99)</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r>
      <w:tr>
        <w:trPr>
          <w:trHeight w:val="209"/>
        </w:trPr>
        <w:tc>
          <w:tcPr>
            <w:tcW w:w="69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comprehensive (loss) income attributable to Viskase Companies, Inc</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(55,469)</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(11,546)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21,420</w:t>
            </w:r>
          </w:p>
        </w:tc>
        <w:tc>
          <w:tcPr>
            <w:tcW w:w="80" w:type="dxa"/>
            <w:vAlign w:val="bottom"/>
          </w:tcPr>
          <w:p>
            <w:pPr>
              <w:spacing w:after="0"/>
              <w:rPr>
                <w:sz w:val="21"/>
                <w:szCs w:val="21"/>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VISKASE COMPANIES,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U.S. dollars)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gridSpan w:val="2"/>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rPr>
              <w:t>Accumulated other</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Total</w:t>
            </w: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0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Common</w:t>
            </w:r>
          </w:p>
        </w:tc>
        <w:tc>
          <w:tcPr>
            <w:tcW w:w="10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Paid in</w:t>
            </w:r>
          </w:p>
        </w:tc>
        <w:tc>
          <w:tcPr>
            <w:tcW w:w="1040" w:type="dxa"/>
            <w:vAlign w:val="bottom"/>
            <w:gridSpan w:val="2"/>
            <w:vMerge w:val="restart"/>
          </w:tcPr>
          <w:p>
            <w:pPr>
              <w:jc w:val="right"/>
              <w:ind w:right="339"/>
              <w:spacing w:after="0"/>
              <w:rPr>
                <w:sz w:val="20"/>
                <w:szCs w:val="20"/>
                <w:color w:val="auto"/>
              </w:rPr>
            </w:pPr>
            <w:r>
              <w:rPr>
                <w:rFonts w:ascii="Times New Roman" w:cs="Times New Roman" w:eastAsia="Times New Roman" w:hAnsi="Times New Roman"/>
                <w:sz w:val="14"/>
                <w:szCs w:val="14"/>
                <w:color w:val="auto"/>
              </w:rPr>
              <w:t>Treasury</w:t>
            </w:r>
          </w:p>
        </w:tc>
        <w:tc>
          <w:tcPr>
            <w:tcW w:w="1000" w:type="dxa"/>
            <w:vAlign w:val="bottom"/>
            <w:gridSpan w:val="2"/>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Retained</w:t>
            </w:r>
          </w:p>
        </w:tc>
        <w:tc>
          <w:tcPr>
            <w:tcW w:w="1660" w:type="dxa"/>
            <w:vAlign w:val="bottom"/>
            <w:gridSpan w:val="2"/>
            <w:vMerge w:val="continue"/>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Viskase</w:t>
            </w:r>
          </w:p>
        </w:tc>
        <w:tc>
          <w:tcPr>
            <w:tcW w:w="11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Non-controlling</w:t>
            </w: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6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color w:val="auto"/>
              </w:rPr>
              <w:t>comprehensive</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stockholders’</w:t>
            </w:r>
          </w:p>
        </w:tc>
        <w:tc>
          <w:tcPr>
            <w:tcW w:w="1140" w:type="dxa"/>
            <w:vAlign w:val="bottom"/>
            <w:gridSpan w:val="2"/>
            <w:vMerge w:val="continue"/>
          </w:tcPr>
          <w:p>
            <w:pPr>
              <w:spacing w:after="0"/>
              <w:rPr>
                <w:sz w:val="14"/>
                <w:szCs w:val="14"/>
                <w:color w:val="auto"/>
              </w:rPr>
            </w:pPr>
          </w:p>
        </w:tc>
        <w:tc>
          <w:tcPr>
            <w:tcW w:w="9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71"/>
        </w:trPr>
        <w:tc>
          <w:tcPr>
            <w:tcW w:w="238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stock</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capital</w:t>
            </w:r>
          </w:p>
        </w:tc>
        <w:tc>
          <w:tcPr>
            <w:tcW w:w="1040" w:type="dxa"/>
            <w:vAlign w:val="bottom"/>
            <w:gridSpan w:val="2"/>
          </w:tcPr>
          <w:p>
            <w:pPr>
              <w:jc w:val="right"/>
              <w:ind w:right="439"/>
              <w:spacing w:after="0"/>
              <w:rPr>
                <w:sz w:val="20"/>
                <w:szCs w:val="20"/>
                <w:color w:val="auto"/>
              </w:rPr>
            </w:pPr>
            <w:r>
              <w:rPr>
                <w:rFonts w:ascii="Times New Roman" w:cs="Times New Roman" w:eastAsia="Times New Roman" w:hAnsi="Times New Roman"/>
                <w:sz w:val="14"/>
                <w:szCs w:val="14"/>
                <w:color w:val="auto"/>
              </w:rPr>
              <w:t>stock</w:t>
            </w:r>
          </w:p>
        </w:tc>
        <w:tc>
          <w:tcPr>
            <w:tcW w:w="100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color w:val="auto"/>
              </w:rPr>
              <w:t>earnings</w:t>
            </w:r>
          </w:p>
        </w:tc>
        <w:tc>
          <w:tcPr>
            <w:tcW w:w="1660" w:type="dxa"/>
            <w:vAlign w:val="bottom"/>
            <w:gridSpan w:val="2"/>
          </w:tcPr>
          <w:p>
            <w:pPr>
              <w:jc w:val="center"/>
              <w:ind w:right="128"/>
              <w:spacing w:after="0"/>
              <w:rPr>
                <w:sz w:val="20"/>
                <w:szCs w:val="20"/>
                <w:color w:val="auto"/>
              </w:rPr>
            </w:pPr>
            <w:r>
              <w:rPr>
                <w:rFonts w:ascii="Times New Roman" w:cs="Times New Roman" w:eastAsia="Times New Roman" w:hAnsi="Times New Roman"/>
                <w:sz w:val="14"/>
                <w:szCs w:val="14"/>
                <w:color w:val="auto"/>
              </w:rPr>
              <w:t>loss</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equity</w:t>
            </w:r>
          </w:p>
        </w:tc>
        <w:tc>
          <w:tcPr>
            <w:tcW w:w="114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color w:val="auto"/>
              </w:rPr>
              <w:t>Interest</w:t>
            </w:r>
          </w:p>
        </w:tc>
        <w:tc>
          <w:tcPr>
            <w:tcW w:w="8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55"/>
        </w:trPr>
        <w:tc>
          <w:tcPr>
            <w:tcW w:w="238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Balance December 31, 2022</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1,040</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182,343</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(298</w:t>
            </w:r>
          </w:p>
        </w:tc>
        <w:tc>
          <w:tcPr>
            <w:tcW w:w="240" w:type="dxa"/>
            <w:vAlign w:val="bottom"/>
            <w:tcBorders>
              <w:top w:val="single" w:sz="8" w:color="CCEEFF"/>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8"/>
                <w:szCs w:val="8"/>
                <w:color w:val="auto"/>
                <w:w w:val="73"/>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45,467</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(67,114</w:t>
            </w:r>
          </w:p>
        </w:tc>
        <w:tc>
          <w:tcPr>
            <w:tcW w:w="220" w:type="dxa"/>
            <w:vAlign w:val="bottom"/>
            <w:tcBorders>
              <w:top w:val="single" w:sz="8" w:color="CCEEFF"/>
              <w:bottom w:val="single" w:sz="8" w:color="CCEEFF"/>
            </w:tcBorders>
            <w:shd w:val="clear" w:color="auto" w:fill="CCEE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161,438</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(1,153</w:t>
            </w:r>
          </w:p>
        </w:tc>
        <w:tc>
          <w:tcPr>
            <w:tcW w:w="140" w:type="dxa"/>
            <w:vAlign w:val="bottom"/>
            <w:tcBorders>
              <w:top w:val="single" w:sz="8" w:color="CCEEFF"/>
              <w:bottom w:val="single" w:sz="8" w:color="CCEEFF"/>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160,285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0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13,506</w:t>
            </w:r>
          </w:p>
        </w:tc>
        <w:tc>
          <w:tcPr>
            <w:tcW w:w="166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13,506</w:t>
            </w:r>
          </w:p>
        </w:tc>
        <w:tc>
          <w:tcPr>
            <w:tcW w:w="114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96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13,436</w:t>
            </w:r>
          </w:p>
        </w:tc>
        <w:tc>
          <w:tcPr>
            <w:tcW w:w="0" w:type="dxa"/>
            <w:vAlign w:val="bottom"/>
          </w:tcPr>
          <w:p>
            <w:pPr>
              <w:spacing w:after="0"/>
              <w:rPr>
                <w:sz w:val="1"/>
                <w:szCs w:val="1"/>
                <w:color w:val="auto"/>
              </w:rPr>
            </w:pPr>
          </w:p>
        </w:tc>
      </w:tr>
      <w:tr>
        <w:trPr>
          <w:trHeight w:val="126"/>
        </w:trPr>
        <w:tc>
          <w:tcPr>
            <w:tcW w:w="23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5,280</w:t>
            </w: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5,280</w:t>
            </w:r>
          </w:p>
        </w:tc>
        <w:tc>
          <w:tcPr>
            <w:tcW w:w="11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5,280</w:t>
            </w:r>
          </w:p>
        </w:tc>
        <w:tc>
          <w:tcPr>
            <w:tcW w:w="0" w:type="dxa"/>
            <w:vAlign w:val="bottom"/>
          </w:tcPr>
          <w:p>
            <w:pPr>
              <w:spacing w:after="0"/>
              <w:rPr>
                <w:sz w:val="1"/>
                <w:szCs w:val="1"/>
                <w:color w:val="auto"/>
              </w:rPr>
            </w:pPr>
          </w:p>
        </w:tc>
      </w:tr>
      <w:tr>
        <w:trPr>
          <w:trHeight w:val="171"/>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adjustment</w:t>
            </w:r>
          </w:p>
        </w:tc>
        <w:tc>
          <w:tcPr>
            <w:tcW w:w="10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Pension liability adjustment, net of tax</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2,634</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2,634</w:t>
            </w:r>
          </w:p>
        </w:tc>
        <w:tc>
          <w:tcPr>
            <w:tcW w:w="11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2,634</w:t>
            </w:r>
          </w:p>
        </w:tc>
        <w:tc>
          <w:tcPr>
            <w:tcW w:w="0" w:type="dxa"/>
            <w:vAlign w:val="bottom"/>
          </w:tcPr>
          <w:p>
            <w:pPr>
              <w:spacing w:after="0"/>
              <w:rPr>
                <w:sz w:val="1"/>
                <w:szCs w:val="1"/>
                <w:color w:val="auto"/>
              </w:rPr>
            </w:pPr>
          </w:p>
        </w:tc>
      </w:tr>
      <w:tr>
        <w:trPr>
          <w:trHeight w:val="195"/>
        </w:trPr>
        <w:tc>
          <w:tcPr>
            <w:tcW w:w="238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color w:val="auto"/>
              </w:rPr>
              <w:t>Balance December 31, 2023</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1,040</w:t>
            </w:r>
          </w:p>
        </w:tc>
        <w:tc>
          <w:tcPr>
            <w:tcW w:w="24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182,343</w:t>
            </w:r>
          </w:p>
        </w:tc>
        <w:tc>
          <w:tcPr>
            <w:tcW w:w="24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(298</w:t>
            </w:r>
          </w:p>
        </w:tc>
        <w:tc>
          <w:tcPr>
            <w:tcW w:w="240" w:type="dxa"/>
            <w:vAlign w:val="bottom"/>
            <w:tcBorders>
              <w:bottom w:val="single" w:sz="8" w:color="CCEEFF"/>
            </w:tcBorders>
          </w:tcPr>
          <w:p>
            <w:pPr>
              <w:jc w:val="right"/>
              <w:ind w:right="159"/>
              <w:spacing w:after="0"/>
              <w:rPr>
                <w:sz w:val="20"/>
                <w:szCs w:val="20"/>
                <w:color w:val="auto"/>
              </w:rPr>
            </w:pPr>
            <w:r>
              <w:rPr>
                <w:rFonts w:ascii="Times New Roman" w:cs="Times New Roman" w:eastAsia="Times New Roman" w:hAnsi="Times New Roman"/>
                <w:sz w:val="8"/>
                <w:szCs w:val="8"/>
                <w:color w:val="auto"/>
                <w:w w:val="73"/>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58,973</w:t>
            </w:r>
          </w:p>
        </w:tc>
        <w:tc>
          <w:tcPr>
            <w:tcW w:w="22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(59,200</w:t>
            </w:r>
          </w:p>
        </w:tc>
        <w:tc>
          <w:tcPr>
            <w:tcW w:w="220" w:type="dxa"/>
            <w:vAlign w:val="bottom"/>
            <w:tcBorders>
              <w:bottom w:val="single" w:sz="8" w:color="CCEEFF"/>
            </w:tcBorders>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182,858</w:t>
            </w:r>
          </w:p>
        </w:tc>
        <w:tc>
          <w:tcPr>
            <w:tcW w:w="20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(1,223</w:t>
            </w:r>
          </w:p>
        </w:tc>
        <w:tc>
          <w:tcPr>
            <w:tcW w:w="140" w:type="dxa"/>
            <w:vAlign w:val="bottom"/>
            <w:tcBorders>
              <w:bottom w:val="single" w:sz="8" w:color="CCEEFF"/>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181,635</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3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(5,360)</w:t>
            </w:r>
          </w:p>
        </w:tc>
        <w:tc>
          <w:tcPr>
            <w:tcW w:w="16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(5,360)</w:t>
            </w:r>
          </w:p>
        </w:tc>
        <w:tc>
          <w:tcPr>
            <w:tcW w:w="11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9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(5,459)</w:t>
            </w:r>
          </w:p>
        </w:tc>
        <w:tc>
          <w:tcPr>
            <w:tcW w:w="0" w:type="dxa"/>
            <w:vAlign w:val="bottom"/>
          </w:tcPr>
          <w:p>
            <w:pPr>
              <w:spacing w:after="0"/>
              <w:rPr>
                <w:sz w:val="1"/>
                <w:szCs w:val="1"/>
                <w:color w:val="auto"/>
              </w:rPr>
            </w:pPr>
          </w:p>
        </w:tc>
      </w:tr>
      <w:tr>
        <w:trPr>
          <w:trHeight w:val="126"/>
        </w:trPr>
        <w:tc>
          <w:tcPr>
            <w:tcW w:w="23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(7,341)</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(7,341)</w:t>
            </w:r>
          </w:p>
        </w:tc>
        <w:tc>
          <w:tcPr>
            <w:tcW w:w="114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(7,341)</w:t>
            </w:r>
          </w:p>
        </w:tc>
        <w:tc>
          <w:tcPr>
            <w:tcW w:w="0" w:type="dxa"/>
            <w:vAlign w:val="bottom"/>
          </w:tcPr>
          <w:p>
            <w:pPr>
              <w:spacing w:after="0"/>
              <w:rPr>
                <w:sz w:val="1"/>
                <w:szCs w:val="1"/>
                <w:color w:val="auto"/>
              </w:rPr>
            </w:pPr>
          </w:p>
        </w:tc>
      </w:tr>
      <w:tr>
        <w:trPr>
          <w:trHeight w:val="171"/>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w:t>
            </w:r>
          </w:p>
        </w:tc>
        <w:tc>
          <w:tcPr>
            <w:tcW w:w="10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66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96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Pension liability adjustment, net of tax</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1,155</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1,155</w:t>
            </w:r>
          </w:p>
        </w:tc>
        <w:tc>
          <w:tcPr>
            <w:tcW w:w="11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1,155</w:t>
            </w:r>
          </w:p>
        </w:tc>
        <w:tc>
          <w:tcPr>
            <w:tcW w:w="0" w:type="dxa"/>
            <w:vAlign w:val="bottom"/>
          </w:tcPr>
          <w:p>
            <w:pPr>
              <w:spacing w:after="0"/>
              <w:rPr>
                <w:sz w:val="1"/>
                <w:szCs w:val="1"/>
                <w:color w:val="auto"/>
              </w:rPr>
            </w:pPr>
          </w:p>
        </w:tc>
      </w:tr>
      <w:tr>
        <w:trPr>
          <w:trHeight w:val="156"/>
        </w:trPr>
        <w:tc>
          <w:tcPr>
            <w:tcW w:w="238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Balance December 31, 2024</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1,040</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182,343</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(298</w:t>
            </w:r>
          </w:p>
        </w:tc>
        <w:tc>
          <w:tcPr>
            <w:tcW w:w="240" w:type="dxa"/>
            <w:vAlign w:val="bottom"/>
            <w:tcBorders>
              <w:top w:val="single" w:sz="8" w:color="CCEEFF"/>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8"/>
                <w:szCs w:val="8"/>
                <w:color w:val="auto"/>
                <w:w w:val="73"/>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53,613</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(65,386</w:t>
            </w:r>
          </w:p>
        </w:tc>
        <w:tc>
          <w:tcPr>
            <w:tcW w:w="220" w:type="dxa"/>
            <w:vAlign w:val="bottom"/>
            <w:tcBorders>
              <w:top w:val="single" w:sz="8" w:color="CCEEFF"/>
              <w:bottom w:val="single" w:sz="8" w:color="CCEEFF"/>
            </w:tcBorders>
            <w:shd w:val="clear" w:color="auto" w:fill="CCEE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171,312</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(1,322</w:t>
            </w:r>
          </w:p>
        </w:tc>
        <w:tc>
          <w:tcPr>
            <w:tcW w:w="140" w:type="dxa"/>
            <w:vAlign w:val="bottom"/>
            <w:tcBorders>
              <w:top w:val="single" w:sz="8" w:color="CCEEFF"/>
              <w:bottom w:val="single" w:sz="8" w:color="CCEEFF"/>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169,990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(65,494)</w:t>
            </w:r>
          </w:p>
        </w:tc>
        <w:tc>
          <w:tcPr>
            <w:tcW w:w="166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(65,494)</w:t>
            </w:r>
          </w:p>
        </w:tc>
        <w:tc>
          <w:tcPr>
            <w:tcW w:w="114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(161)</w:t>
            </w:r>
          </w:p>
        </w:tc>
        <w:tc>
          <w:tcPr>
            <w:tcW w:w="96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(65,655)</w:t>
            </w:r>
          </w:p>
        </w:tc>
        <w:tc>
          <w:tcPr>
            <w:tcW w:w="0" w:type="dxa"/>
            <w:vAlign w:val="bottom"/>
          </w:tcPr>
          <w:p>
            <w:pPr>
              <w:spacing w:after="0"/>
              <w:rPr>
                <w:sz w:val="1"/>
                <w:szCs w:val="1"/>
                <w:color w:val="auto"/>
              </w:rPr>
            </w:pPr>
          </w:p>
        </w:tc>
      </w:tr>
      <w:tr>
        <w:trPr>
          <w:trHeight w:val="126"/>
        </w:trPr>
        <w:tc>
          <w:tcPr>
            <w:tcW w:w="23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6,471</w:t>
            </w: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6,471</w:t>
            </w:r>
          </w:p>
        </w:tc>
        <w:tc>
          <w:tcPr>
            <w:tcW w:w="11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6,471</w:t>
            </w:r>
          </w:p>
        </w:tc>
        <w:tc>
          <w:tcPr>
            <w:tcW w:w="0" w:type="dxa"/>
            <w:vAlign w:val="bottom"/>
          </w:tcPr>
          <w:p>
            <w:pPr>
              <w:spacing w:after="0"/>
              <w:rPr>
                <w:sz w:val="1"/>
                <w:szCs w:val="1"/>
                <w:color w:val="auto"/>
              </w:rPr>
            </w:pPr>
          </w:p>
        </w:tc>
      </w:tr>
      <w:tr>
        <w:trPr>
          <w:trHeight w:val="171"/>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adjustment</w:t>
            </w:r>
          </w:p>
        </w:tc>
        <w:tc>
          <w:tcPr>
            <w:tcW w:w="10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Pension liability adjustment, net of tax</w:t>
            </w:r>
          </w:p>
        </w:tc>
        <w:tc>
          <w:tcPr>
            <w:tcW w:w="10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3,554</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3,554</w:t>
            </w:r>
          </w:p>
        </w:tc>
        <w:tc>
          <w:tcPr>
            <w:tcW w:w="114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3,554</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306</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29,694</w:t>
            </w:r>
          </w:p>
        </w:tc>
        <w:tc>
          <w:tcPr>
            <w:tcW w:w="104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30,000</w:t>
            </w:r>
          </w:p>
        </w:tc>
        <w:tc>
          <w:tcPr>
            <w:tcW w:w="11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30,000</w:t>
            </w:r>
          </w:p>
        </w:tc>
        <w:tc>
          <w:tcPr>
            <w:tcW w:w="0" w:type="dxa"/>
            <w:vAlign w:val="bottom"/>
          </w:tcPr>
          <w:p>
            <w:pPr>
              <w:spacing w:after="0"/>
              <w:rPr>
                <w:sz w:val="1"/>
                <w:szCs w:val="1"/>
                <w:color w:val="auto"/>
              </w:rPr>
            </w:pPr>
          </w:p>
        </w:tc>
      </w:tr>
      <w:tr>
        <w:trPr>
          <w:trHeight w:val="155"/>
        </w:trPr>
        <w:tc>
          <w:tcPr>
            <w:tcW w:w="238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Balance December 31, 2025</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1,346</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212,037</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(298</w:t>
            </w:r>
          </w:p>
        </w:tc>
        <w:tc>
          <w:tcPr>
            <w:tcW w:w="240" w:type="dxa"/>
            <w:vAlign w:val="bottom"/>
            <w:tcBorders>
              <w:top w:val="single" w:sz="8" w:color="CCEEFF"/>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8"/>
                <w:szCs w:val="8"/>
                <w:color w:val="auto"/>
                <w:w w:val="73"/>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(11,881</w:t>
            </w:r>
          </w:p>
        </w:tc>
        <w:tc>
          <w:tcPr>
            <w:tcW w:w="220" w:type="dxa"/>
            <w:vAlign w:val="bottom"/>
            <w:tcBorders>
              <w:top w:val="single" w:sz="8" w:color="CCEEFF"/>
              <w:bottom w:val="single" w:sz="8" w:color="CCEEFF"/>
            </w:tcBorders>
            <w:shd w:val="clear" w:color="auto" w:fill="CCEE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(55,361</w:t>
            </w:r>
          </w:p>
        </w:tc>
        <w:tc>
          <w:tcPr>
            <w:tcW w:w="220" w:type="dxa"/>
            <w:vAlign w:val="bottom"/>
            <w:tcBorders>
              <w:top w:val="single" w:sz="8" w:color="CCEEFF"/>
              <w:bottom w:val="single" w:sz="8" w:color="CCEEFF"/>
            </w:tcBorders>
            <w:shd w:val="clear" w:color="auto" w:fill="CCEE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145,843</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(1,483</w:t>
            </w:r>
          </w:p>
        </w:tc>
        <w:tc>
          <w:tcPr>
            <w:tcW w:w="140" w:type="dxa"/>
            <w:vAlign w:val="bottom"/>
            <w:tcBorders>
              <w:top w:val="single" w:sz="8" w:color="CCEEFF"/>
              <w:bottom w:val="single" w:sz="8" w:color="CCEEFF"/>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144,360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VISKASE COMPANIES,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Year</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Year</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Year</w:t>
            </w:r>
          </w:p>
        </w:tc>
      </w:tr>
      <w:tr>
        <w:trPr>
          <w:trHeight w:val="216"/>
        </w:trPr>
        <w:tc>
          <w:tcPr>
            <w:tcW w:w="698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Ended</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Ended</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Ended</w:t>
            </w:r>
          </w:p>
        </w:tc>
      </w:tr>
      <w:tr>
        <w:trPr>
          <w:trHeight w:val="229"/>
        </w:trPr>
        <w:tc>
          <w:tcPr>
            <w:tcW w:w="6980" w:type="dxa"/>
            <w:vAlign w:val="bottom"/>
          </w:tcPr>
          <w:p>
            <w:pPr>
              <w:spacing w:after="0"/>
              <w:rPr>
                <w:sz w:val="19"/>
                <w:szCs w:val="19"/>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December</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December</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December</w:t>
            </w:r>
          </w:p>
        </w:tc>
      </w:tr>
      <w:tr>
        <w:trPr>
          <w:trHeight w:val="234"/>
        </w:trPr>
        <w:tc>
          <w:tcPr>
            <w:tcW w:w="698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31, 2025</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31, 2024</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31, 2023</w:t>
            </w:r>
          </w:p>
        </w:tc>
        <w:tc>
          <w:tcPr>
            <w:tcW w:w="100" w:type="dxa"/>
            <w:vAlign w:val="bottom"/>
            <w:tcBorders>
              <w:bottom w:val="single" w:sz="8" w:color="CCEEFF"/>
            </w:tcBorders>
          </w:tcPr>
          <w:p>
            <w:pPr>
              <w:spacing w:after="0"/>
              <w:rPr>
                <w:sz w:val="20"/>
                <w:szCs w:val="20"/>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 income</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(65,655)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(5,459)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13,436</w:t>
            </w: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 activities: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19,290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23,678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25,223</w:t>
            </w:r>
          </w:p>
        </w:tc>
      </w:tr>
      <w:tr>
        <w:trPr>
          <w:trHeight w:val="216"/>
        </w:trPr>
        <w:tc>
          <w:tcPr>
            <w:tcW w:w="6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w:t>
            </w:r>
          </w:p>
        </w:tc>
      </w:tr>
      <w:tr>
        <w:trPr>
          <w:trHeight w:val="216"/>
        </w:trPr>
        <w:tc>
          <w:tcPr>
            <w:tcW w:w="6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income taxes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8,896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3,241</w:t>
            </w:r>
          </w:p>
        </w:tc>
      </w:tr>
      <w:tr>
        <w:trPr>
          <w:trHeight w:val="216"/>
        </w:trPr>
        <w:tc>
          <w:tcPr>
            <w:tcW w:w="6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Loss on disposition/impairment of assets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16,985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6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Bad debt and accounts receivable provision</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Receivables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15,846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11,900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598</w:t>
            </w:r>
          </w:p>
        </w:tc>
      </w:tr>
      <w:tr>
        <w:trPr>
          <w:trHeight w:val="216"/>
        </w:trPr>
        <w:tc>
          <w:tcPr>
            <w:tcW w:w="69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Inventories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11,755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(5,934)</w:t>
            </w:r>
          </w:p>
        </w:tc>
      </w:tr>
      <w:tr>
        <w:trPr>
          <w:trHeight w:val="216"/>
        </w:trPr>
        <w:tc>
          <w:tcPr>
            <w:tcW w:w="69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Other current assets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1,991</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(5,180)</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(1,104)</w:t>
            </w:r>
          </w:p>
        </w:tc>
      </w:tr>
      <w:tr>
        <w:trPr>
          <w:trHeight w:val="216"/>
        </w:trPr>
        <w:tc>
          <w:tcPr>
            <w:tcW w:w="69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Accounts payable</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3,607</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(8,016)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w:t>
            </w:r>
          </w:p>
        </w:tc>
      </w:tr>
      <w:tr>
        <w:trPr>
          <w:trHeight w:val="216"/>
        </w:trPr>
        <w:tc>
          <w:tcPr>
            <w:tcW w:w="69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Accrued liabilities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(16,044)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6,508</w:t>
            </w:r>
          </w:p>
        </w:tc>
      </w:tr>
      <w:tr>
        <w:trPr>
          <w:trHeight w:val="216"/>
        </w:trPr>
        <w:tc>
          <w:tcPr>
            <w:tcW w:w="69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(1,938)</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(2,896)</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(699)</w:t>
            </w:r>
          </w:p>
        </w:tc>
      </w:tr>
      <w:tr>
        <w:trPr>
          <w:trHeight w:val="216"/>
        </w:trPr>
        <w:tc>
          <w:tcPr>
            <w:tcW w:w="69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Other assets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748</w:t>
            </w:r>
          </w:p>
        </w:tc>
      </w:tr>
      <w:tr>
        <w:trPr>
          <w:trHeight w:val="230"/>
        </w:trPr>
        <w:tc>
          <w:tcPr>
            <w:tcW w:w="69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(1,532)</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580</w:t>
            </w:r>
          </w:p>
        </w:tc>
      </w:tr>
      <w:tr>
        <w:trPr>
          <w:trHeight w:val="210"/>
        </w:trPr>
        <w:tc>
          <w:tcPr>
            <w:tcW w:w="69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adjustments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78,653</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8,828</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30,729</w:t>
            </w:r>
          </w:p>
        </w:tc>
        <w:tc>
          <w:tcPr>
            <w:tcW w:w="100" w:type="dxa"/>
            <w:vAlign w:val="bottom"/>
            <w:tcBorders>
              <w:bottom w:val="single" w:sz="8" w:color="CCEEFF"/>
            </w:tcBorders>
          </w:tcPr>
          <w:p>
            <w:pPr>
              <w:spacing w:after="0"/>
              <w:rPr>
                <w:sz w:val="18"/>
                <w:szCs w:val="18"/>
                <w:color w:val="auto"/>
              </w:rPr>
            </w:pPr>
          </w:p>
        </w:tc>
      </w:tr>
      <w:tr>
        <w:trPr>
          <w:trHeight w:val="209"/>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12,998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44,165</w:t>
            </w: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 expenditures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(35,363)</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(15,279)</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(14,470)</w:t>
            </w:r>
          </w:p>
        </w:tc>
      </w:tr>
      <w:tr>
        <w:trPr>
          <w:trHeight w:val="229"/>
        </w:trPr>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6980" w:type="dxa"/>
            <w:vAlign w:val="bottom"/>
            <w:tcBorders>
              <w:top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(15,279)</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9,758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21,500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10,101</w:t>
            </w:r>
          </w:p>
        </w:tc>
      </w:tr>
      <w:tr>
        <w:trPr>
          <w:trHeight w:val="216"/>
        </w:trPr>
        <w:tc>
          <w:tcPr>
            <w:tcW w:w="6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 of short-term debt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(13,125)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(30,240)</w:t>
            </w:r>
          </w:p>
        </w:tc>
      </w:tr>
      <w:tr>
        <w:trPr>
          <w:trHeight w:val="216"/>
        </w:trPr>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(11,250)</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(9,126)</w:t>
            </w:r>
          </w:p>
        </w:tc>
      </w:tr>
      <w:tr>
        <w:trPr>
          <w:trHeight w:val="230"/>
        </w:trPr>
        <w:tc>
          <w:tcPr>
            <w:tcW w:w="6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 of capital lease</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09"/>
        </w:trPr>
        <w:tc>
          <w:tcPr>
            <w:tcW w:w="69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Net cash provided by (used in) provided by financing activities</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25,787</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(29,292)</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Effect of currency exchange rate changes on cash</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(498)</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(1,334)</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equivalents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5,704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7,862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8,783</w:t>
            </w: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paid less capitalized interest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9,701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10,342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11,418</w:t>
            </w:r>
          </w:p>
        </w:tc>
      </w:tr>
      <w:tr>
        <w:trPr>
          <w:trHeight w:val="256"/>
        </w:trPr>
        <w:tc>
          <w:tcPr>
            <w:tcW w:w="6980" w:type="dxa"/>
            <w:vAlign w:val="bottom"/>
            <w:shd w:val="clear" w:color="auto" w:fill="CCEEFF"/>
          </w:tcPr>
          <w:p>
            <w:pPr>
              <w:ind w:left="160"/>
              <w:spacing w:after="0" w:line="256" w:lineRule="exact"/>
              <w:rPr>
                <w:sz w:val="20"/>
                <w:szCs w:val="20"/>
                <w:color w:val="auto"/>
              </w:rPr>
            </w:pPr>
            <w:r>
              <w:rPr>
                <w:rFonts w:ascii="Times New Roman" w:cs="Times New Roman" w:eastAsia="Times New Roman" w:hAnsi="Times New Roman"/>
                <w:sz w:val="18"/>
                <w:szCs w:val="18"/>
                <w:color w:val="auto"/>
              </w:rPr>
              <w:t xml:space="preserve">Income taxes paid </w:t>
            </w:r>
            <w:r>
              <w:rPr>
                <w:rFonts w:ascii="Times New Roman" w:cs="Times New Roman" w:eastAsia="Times New Roman" w:hAnsi="Times New Roman"/>
                <w:sz w:val="29"/>
                <w:szCs w:val="29"/>
                <w:color w:val="auto"/>
                <w:vertAlign w:val="superscript"/>
              </w:rPr>
              <w:t>(1)</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4,060</w:t>
            </w:r>
          </w:p>
        </w:tc>
      </w:tr>
      <w:tr>
        <w:trPr>
          <w:trHeight w:val="234"/>
        </w:trPr>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Expenditure in Accounts Payable</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See Note 11 Income Taxes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3" w:lineRule="exact"/>
        <w:rPr>
          <w:sz w:val="20"/>
          <w:szCs w:val="20"/>
          <w:color w:val="auto"/>
        </w:rPr>
      </w:pPr>
    </w:p>
    <w:p>
      <w:pPr>
        <w:ind w:right="7520" w:firstLine="8"/>
        <w:spacing w:after="0" w:line="503" w:lineRule="auto"/>
        <w:tabs>
          <w:tab w:leader="none" w:pos="32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Nature of Operations</w:t>
      </w:r>
    </w:p>
    <w:p>
      <w:pPr>
        <w:jc w:val="both"/>
        <w:spacing w:after="0" w:line="261" w:lineRule="auto"/>
        <w:rPr>
          <w:sz w:val="20"/>
          <w:szCs w:val="20"/>
          <w:color w:val="auto"/>
        </w:rPr>
      </w:pPr>
      <w:r>
        <w:rPr>
          <w:rFonts w:ascii="Times New Roman" w:cs="Times New Roman" w:eastAsia="Times New Roman" w:hAnsi="Times New Roman"/>
          <w:sz w:val="18"/>
          <w:szCs w:val="18"/>
          <w:color w:val="auto"/>
        </w:rPr>
        <w:t>Viskase Companies, Inc. together with its subsidiaries (“we” or the “Company”) is a producer of non-edible cellulosic, fibrous and plastic casings used to prepare and package processed meat products for some of the largest global consumer products companies. We were incorporated in Delaware in 1970. The Company operates eight manufacturing facilities in North America, Europe, South America, and Asia and, as a result, is able to sell its products in nearly one hundred countries throughout the world.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20, 2025, the Company entered into an Agreement and Plan of Merger (“Merger Agreement”) that was further amended on October 23, 2025 by and between Enzon Pharmaceuticals, Inc. (“Enzon”), and EPSC Acquisition Corp. (“ESPC”). Under the terms of the Merger Agreement, EPSC will merge with and into the Company, with the Company surviving as a wholly owned subsidiary of Enzon, (the “Merger”). Immediately following the Merger, the Company will convert into a limited liability company under Delaware law. Enzon is expected to change its name to Viskase Holdings, and trade on the OTC market.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on June 20, 2025, the Company entered into a support agreement (“Support Agreement”). In accordance with the Support Agreement, the owners of Enzon and the Company will exchange their beneficially owned shares of Enzon Series C Preferred Stock for shares of Enzon common stock. Enzon will use commercially reasonable efforts to facilitate the exchange of Enzon Series C Preferred Stock held by non-related ownership parties for shares of Enzon common stock through the Series C Exchange Offer.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is expected to close in 2026 pending standard closing requirements and regulatory approvals.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financial statements are prepared using accounting principles generally accepted in the United States of America applicable to a going concern which contemplates the realization of assets and liquidation of liabilities in the normal course of business. The ability of the Company to continue as a going concern is dependent on the Company obtaining adequate refinancing of its Senior Credit Facility before its maturity in August 2026.</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fully expect the refinancing will be completed after completion of the Merger, but before the maturity of Senior Credit Facility. However, there is no assurance that the Company will be able to obtain sufficient additional funds to refinance its maturing facilities occurring within 12 months of the date of the issuance of our financials or that such funds, if available, will be obtainable on terms satisfactory to the Company, and therefore substantial doubt exists about the Company’s ability to continue as a going concern.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The consolidated financial statements do not include any adjustments that might result from the Company being unable to continue as a going concern.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Historically, our domestic sales and profits have been seasonal in nature, increasing in the spring and summer months. Sales outside of the United States follow a relatively stable pattern throughout the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(“U.S. GAAP”). The consolidated financial statements include the accounts of the Company, its subsidiaries and variable interest entity (“VIE”) for which the Company is the primary beneficiary. All inter-company accounts and transactions have been eliminated in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consolidated its variable interest in a joint venture, VE Netting, LLC, as the Company is identified as the primary beneficiary. Noncontrolling interests reflect the equity ownership held by third parties. These noncontrolling interests are presented as a separate component of equity within the consolidated financial statements, distinct from the Company’s stockholders’ equity. The portion of net income (loss) attributable to noncontrolling interests is reported in the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in the Preparation of Financial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financial statements are prepared in accordance with generally accepted accounting principles (“GAAP”) in the United States of America and include the use of estimates and assumptions that affect a number of amounts included in the Company’s financial statements, including, among other things, pensions and other postretirement benefits and related disclosures, reserves for excess and obsolete inventory, allowance for credit losses, impairment of long-lived assets, including property, plant, and equipment, and income taxes. Management bases its estimates on historical experience and other assumptions that we believe are reasonable. If actual amounts are ultimately different from previous estimates, the revisions are included in the Company’s results for the period in which the actual amounts become known. Historically, the aggregate differences, if any, between the Company’s estimates and actual amounts in any year have not had a significant effect on the Company’s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purposes of the statement of cash flows, the Company considers cash equivalents to consist of all highly liquid debt investments purchased with an initial maturity of approximately three months or less. Due to the short-term nature of these instruments, the carrying values approximate the fair market value. As of December 31, 2025, of the cash held on deposit in the U.S., approximately $2,253 of the cash balance was in excess of amounts insured by the Federal Deposit Insurance Corporation. The Company performs periodic evaluations of these institutions for relative credit standing and has not experienced any losses as a result of its cash concentration. Consequently, no significant concentrations of credit risk are considered to exist.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Receivables, Net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Trade accounts receivable are classified as current assets and are reported net of allowance for credit losses, which includes the evaluation of expected credit losses following the adoption of ASC Topic 326. This estimated allowance is primarily based upon our evaluation of the future expected loss for the asset. The Company estimates this using the financial condition of each customer, each customer’s ability to pay and the economic conditions of the country the customer resides in. For all trade accounts receivable, the Company defines “past due” as any payment, that is at least 15 days past the contractual due date. For the year ended December 31, 2025, 2024 and 2023, there have been expected credit losses of $292, $100, and $198,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Cost is determined by using the first-in, first-out (“FIFO”) basis method. The Company reviews inventory for excess and obsolete inventory and establishes a reserve. As of December 31, 2025 and December 31, 2024, the Company had an inventory reserve of $4,416 and $3,908,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routinely enters into fixed price natural gas agreements which require us to purchase a portion of our natural gas each month at fixed prices. These fixed price agreements qualify for the “normal purchases” scope exception under derivative and hedging standards, therefore the natural gas purchases under these contracts were expensed as incurred and included within cost of sales. As of December 31, 2025, future minimum purchases remaining under the agreement are $808, all of which is expected to be incurred during the year ended December 31, 2026.</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include cash and cash equivalents, accounts receivable and accounts payable. The carrying amounts of these financial assets and liabilities approximate fair value due to the short maturities of these instruments. Management believes the fair value of the Company’s revolving loans approximate the carrying value due to credit risk or current market rates, which approximate the effective interest rates on those instruments. The fair value of the Company’s term loans is estimated by discounting the future cash flow using the Company’s current borrowing rates for similar types and maturities of debt.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carries property, plant and equipment at cost, less accumulated depreciation. Property and equipment additions include acquisition of property and equipment including related external direct costs of materials and services and payroll costs for employees directly associated with the project. Upon retirement or other disposition, cost and related accumulated depreciation are removed from the accounts, and any gain or loss is included in results of operations. Depreciation is computed on the straight-line method over the estimated useful lives of the assets ranging from (i) land improvements - 30 years (ii) building and improvements - 10 to 32 years, (iiI) machinery and equipment - 4 to 12 years, (iv) furniture and fixtures - 3 to 12 years, (v) leasehold improvements - shorter of lease term or 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we lease certain equipment, consisting mainly of autos, and certain real property. Real property consists of manufacturing, distribution and office facilities.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and Goodwill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recognized definite lived intangible assets for customer relationships, technologies, patents and trademarks, and in-place leases. The intangible assets are amortized on the straight-line method over an estimated weighted average useful life of 20 years for customer relationships, 13 years for technologies, 12 years for patents and trademarks, and 14 years for in-place leases. See accounting policy </w:t>
      </w:r>
      <w:r>
        <w:rPr>
          <w:rFonts w:ascii="Times New Roman" w:cs="Times New Roman" w:eastAsia="Times New Roman" w:hAnsi="Times New Roman"/>
          <w:sz w:val="18"/>
          <w:szCs w:val="18"/>
          <w:i w:val="1"/>
          <w:iCs w:val="1"/>
          <w:color w:val="auto"/>
        </w:rPr>
        <w:t>Impairment of Long-Lived Assets</w:t>
      </w:r>
      <w:r>
        <w:rPr>
          <w:rFonts w:ascii="Times New Roman" w:cs="Times New Roman" w:eastAsia="Times New Roman" w:hAnsi="Times New Roman"/>
          <w:sz w:val="18"/>
          <w:szCs w:val="18"/>
          <w:color w:val="auto"/>
        </w:rPr>
        <w:t xml:space="preserve"> regarding testing intangible assets for impairment.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The Company has recognized goodwill for the excess of purchase consideration over the fair value of the net tangible and identifiable intangible assets acquired in a business combination. Goodwill is not amortized and is evaluated for impairment annually or more frequently if events or changes in circumstances indicate that an impairment may have occurred at the reporting unit level. The Company has identified five reporting units for goodwill: United States, Mexico, South America, EMEA and Asia.</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12529"/>
        </w:rPr>
        <w:t xml:space="preserve">The Company conducts its annual goodwill impairment test on December 31, by either performing a qualitative assessment to determine if it is more likely than not that the fair value of the reporting unit exceeds its carrying amount or proceeding directly to a quantitative evaluation. The qualitative assessment considers factors such as macroeconomic conditions, industry and market considerations, entity-wide financial performance, cost factors, entity-specific events or events affecting a specific reporting unit. If the qualitative analysis indicates that it is more likely than not that the fair value of the reporting unit is below the carrying amount, a quantitative goodwill assessment is required. The Company would use a discounted cash flow model to determine the fair value of the reporting unit and compare it to the reporting units carrying amount. If the fair value is greater than the carrying value, then the goodwill is deemed not to be impaired, and no further action is required. If the fair value is less than the carrying value, goodwill is considered impaired and a charge is reported as impairment of goodwill in the consolidated statements of operations. During the year ended December 31, 2024, the Company implemented a restructuring plan (see Note 22 – </w:t>
      </w:r>
      <w:r>
        <w:rPr>
          <w:rFonts w:ascii="Times New Roman" w:cs="Times New Roman" w:eastAsia="Times New Roman" w:hAnsi="Times New Roman"/>
          <w:sz w:val="18"/>
          <w:szCs w:val="18"/>
          <w:i w:val="1"/>
          <w:iCs w:val="1"/>
          <w:color w:val="212529"/>
        </w:rPr>
        <w:t>Restructuring</w:t>
      </w:r>
      <w:r>
        <w:rPr>
          <w:rFonts w:ascii="Times New Roman" w:cs="Times New Roman" w:eastAsia="Times New Roman" w:hAnsi="Times New Roman"/>
          <w:sz w:val="18"/>
          <w:szCs w:val="18"/>
          <w:color w:val="212529"/>
        </w:rPr>
        <w:t xml:space="preserve">) which resulted in a goodwill impairment loss of $330 related to the EMEA reporting unit. See Note 12 </w:t>
      </w:r>
      <w:r>
        <w:rPr>
          <w:rFonts w:ascii="Times New Roman" w:cs="Times New Roman" w:eastAsia="Times New Roman" w:hAnsi="Times New Roman"/>
          <w:sz w:val="18"/>
          <w:szCs w:val="18"/>
          <w:i w:val="1"/>
          <w:iCs w:val="1"/>
          <w:color w:val="212529"/>
        </w:rPr>
        <w:t>Goodwill and Intangible Assets, Net</w:t>
      </w:r>
      <w:r>
        <w:rPr>
          <w:rFonts w:ascii="Times New Roman" w:cs="Times New Roman" w:eastAsia="Times New Roman" w:hAnsi="Times New Roman"/>
          <w:sz w:val="18"/>
          <w:szCs w:val="18"/>
          <w:color w:val="212529"/>
        </w:rPr>
        <w:t>. There was no impairment loss for the years ended December 31, 2025 and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12529"/>
        </w:rPr>
        <w:t xml:space="preserve">The Company has long-lived assets including property, plant and equipment and intangible assets. Long-lived assets to be held and used are tested for recoverability whenever events or changes in circumstances indicate that its carrying amount may not be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Impairments are recognized when the expected undiscounted future operating cash flows derived from long-lived assets are less than their carrying value. If impairment is identified, the loss is based on the excess of the carrying value of the impaired asset group over its fair value, determined based on discounted cash flows. During the year ended December 31, 2025 and 2024, the Company implemented restructuring plans (see Note 22 – </w:t>
      </w:r>
      <w:r>
        <w:rPr>
          <w:rFonts w:ascii="Times New Roman" w:cs="Times New Roman" w:eastAsia="Times New Roman" w:hAnsi="Times New Roman"/>
          <w:sz w:val="18"/>
          <w:szCs w:val="18"/>
          <w:i w:val="1"/>
          <w:iCs w:val="1"/>
          <w:color w:val="212529"/>
        </w:rPr>
        <w:t>Restructuring</w:t>
      </w:r>
      <w:r>
        <w:rPr>
          <w:rFonts w:ascii="Times New Roman" w:cs="Times New Roman" w:eastAsia="Times New Roman" w:hAnsi="Times New Roman"/>
          <w:sz w:val="18"/>
          <w:szCs w:val="18"/>
          <w:color w:val="212529"/>
        </w:rPr>
        <w:t>) which resulted in asset write-offs of $9,600 in the North America asset group and $41 in the EMEA asset groups, respectively. Separately, the North America asset group recognized write-offs of $512, $77, and $338, in the years ended December 31, 2025, 2024 and 2023, respectively, related to assets removed from service. These write-offs are recorded as loss on disposal of property, plant and equipment in the consolidated statement of operations for the 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leases under FASB ASC Topic 842, Leases, which has resulted in the company reporting a right of use (“ROU”) asset and lease liability related to operating leases reported on our balance sheet. Financing leases under current U.S. GAAP are classified and accounted for in substantially the same manner as capital leases under prior U.S. GAAP and therefore, we do not distinguish between financing leases and capital leases unless the context requires. The determination of whether an arrangement is or contains a lease occurs at inception. We have elected the practical expedient to include both the lease component and the non-lease component as a single component when accounting for each lease and calculating the resulting lease liability and ROU asset. The following is our accounting policy for leases in which we are the lessee.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lease is classified as a finance lease if any one of the following criteria are met: (1) the lease transfers ownership of the asset by the end of the lease term,</w:t>
      </w:r>
    </w:p>
    <w:p>
      <w:pPr>
        <w:spacing w:after="0" w:line="27" w:lineRule="exact"/>
        <w:rPr>
          <w:sz w:val="20"/>
          <w:szCs w:val="20"/>
          <w:color w:val="auto"/>
        </w:rPr>
      </w:pPr>
    </w:p>
    <w:p>
      <w:pPr>
        <w:jc w:val="both"/>
        <w:ind w:firstLine="8"/>
        <w:spacing w:after="0" w:line="251" w:lineRule="auto"/>
        <w:tabs>
          <w:tab w:leader="none" w:pos="25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contains an option to purchase the asset that is reasonably certain to be exercised, (3) the lease term is for a major part of the remaining useful life of the asset,(4) the present value of the lease payments equals or exceeds substantially all of the fair value of the asset, or (5) the underlying asset is expected to have no alternative use to the lessor at the end of the lease term. All other leases are recorded as operating leases. For leases with an initial lease term in excess of twelve months, we record a ROU asset with a corresponding lease liability in our balance sheet. We have elected the practical expedient for all leases less than 12 months to not record a ROU asset or corresponding lease liability. ROU assets represent our right to use an underlying asset for the lease term and lease liabilities represent our obligation to make lease payments arising from the lease. ROU assets and lease liabilities are recognized at commencement of the lease based on the present value of lease payments over the lease term. ROU assets are adjusted for any lease payments made on or before commencement of the lease, less any lease incentives received.</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lease liability represents future lease payments for lease and non-lease components discounted for present value. Lease payments that may be included in the lease liability include fixed payments, variable lease payments that are based on an index or rate and payments for penalties for terminating the lease if the lessee is reasonably certain to utilize a termination option, among others. Certain of our leases contain rent escalation clauses that are specifically stated in the lease and these are included in the calculation of the lease liability. Variable lease payments for lease and non-lease components which are not based on an index or rate are excluded from the calculation of the lease liability and are recognized in the statement of operations during the period incurred.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utilize discount rates to determine the net present value of our gross lease obligations when calculating the lease liability and related ROU asset. In cases in which the rate implicit in the lease is readily determinable, we utilize that discount rate for purposes of the net present value calculation. In most cases, our lease agreements do not have a discount rate that is readily determinable and therefore we utilize an estimate of our incremental borrowing rate. Our incremental borrowing rate is determined at lease commencement or lease modification and represents the rate of interest we would have to pay to borrow on a collateralized basis over a similar term an amount equal to the lease payments in a similar economic environment. For adoption of the new standard, the rate was determined at the adoption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The lease term is determined by taking into account the initial period as stated in the lease contract and adjusted for any renewal options that the company is reasonably certain to exercise as well as any period of time that the lessee has control of the space before the stated initial term of the lease. If we determine that we are reasonably certain to exercise a termination option, the lease term is then adjusted to account for the expected termination date.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lease expense is recorded as a single expense recognized on a straight-line basis over the lease term. Financing lease expense consists of interest expense on the financing lease liability and amortization of the ROU financing lease asset on a straight-line basis over the lease term.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and Debt Issuance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debt in accordance with ASC 470, Debt (ASC 470). Issuance costs for term debt are presented on the balance sheet as a direct deduction from the carrying amount of the related debt liability. These costs are amortized over the term of the related debt using the interest method under ASC 835-30. The effective interest rate for variable rate debt is determined in accordance with ASC 310-20-35, in which the Company’s policy is to use the variable rate at inception of the debt in the determination of the constant effective yield.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incurred creditor and third-party fees (“Debt Issuance Costs”) associated with its term debt arrangements. These Debt Issuance Costs are recognized as a direct reduction of the carrying value of the debt on the consolidated balance sheets. Debt Issuance Costs are amortized over the duration of the debt using the effective interest method. The amortization of Debt Issuance Costs is included in interest expense within the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Pensions and Other Postretirement Benefits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appropriate actuarial methods and assumptions in accounting for its defined benefit pension plans and non-pension postretirement benefits.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Actual results that differ from assumptions used are accumulated and amortized over future periods and, accordingly, generally affect recognized expense and the recorded obligation in future periods. Therefore, assumptions used to calculate benefit obligations as of the end of a fiscal year directly impact the expense to be recognized in future periods. The primary assumptions affecting the Company’s accounting for employee benefits as of December 31, 2025 and 2024 are as follows:</w:t>
      </w:r>
    </w:p>
    <w:p>
      <w:pPr>
        <w:spacing w:after="0" w:line="180" w:lineRule="exact"/>
        <w:rPr>
          <w:sz w:val="20"/>
          <w:szCs w:val="20"/>
          <w:color w:val="auto"/>
        </w:rPr>
      </w:pPr>
    </w:p>
    <w:p>
      <w:pPr>
        <w:jc w:val="both"/>
        <w:ind w:firstLine="8"/>
        <w:spacing w:after="0" w:line="254" w:lineRule="auto"/>
        <w:tabs>
          <w:tab w:leader="none" w:pos="9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Long-term rate of return on plan assets: The required use of the expected long-term rate of return on plan assets may result in recognized returns that are greater or less than the actual returns on those plan assets in any given year. Over time, however, the expected long-term rate of return on plan assets is designed to approximate actual earned long-term returns. The Company uses long-term historical actual return information, the mix of investments that comprise plan assets, and future estimates of long-term investment returns by reference to external sources to develop an assumption of the expected long-term rate of return on plan assets. The expected long-term rate of return is used to calculate net periodic pension cost. In determining its pension obligations, the Company is using a long-term rate of return on U.S. plan assets of 6.00% for December 31, 2025. The Company is using a long-term rate of return on French plan assets of 2.60% for 2025. Company is using a long-term rate of return on U.S. plan assets of 6.00% for December 31, 2024. The Company is using a long-term rate of return on French plan assets of 2.60% for 2024. The German pension plan has no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8"/>
        <w:spacing w:after="0" w:line="261" w:lineRule="auto"/>
        <w:tabs>
          <w:tab w:leader="none" w:pos="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Discount rate: The discount rate is used to calculate future pension and postretirement obligations. The Company is using a Mercer Bond yield curve in determining its pension obligations. The Company is using a discount rate of 5.48% for December 31, 2025. The Company is using a weighted average discount rate of 4.22% on its non-U.S. pension plans for December 31, 2025. The Company is using a discount rate of 5.70% for December 31, 2024. The Company is using a weighted average discount rate of 3.49% on its non-U.S. pension plans for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account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Deferred tax assets and liabilities are measured using enacted tax laws and tax rates expected to apply to taxable income in the years in which those temporary differences are expected to be recovered or settled. The effect on deferred tax assets and liabilities due to a change in tax rates is recognized in income in the period that includes the enactment date. In addition, the amounts of any future tax benefits are reduced by a valuation allowance to the extent such benefits are not expected to be realized on a more likely than not basis.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two-step approach is applied pursuant to ASC 740 in the recognition and measurement of uncertain tax positions taken or expected to be taken in a tax return. The first step is to determine if the weight of available evidence indicates that it is more likely than not that the tax position will be sustained in an audit, including resolution of any related appeals or litigation processes. The second step is to measure the tax benefit as the largest amount that is more than 50% likely to be realized upon ultimate settlement. We recognize interest and penalties related to uncertain tax positions in our provision for income taxes line of our consolidated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Restructuring charges are incurred for programs in which the Company changes its operations, the scope of a business undertaken by its business units, or the manner in which that business is conducted. Such restructuring charges may include employee severance, retention bonuses, facility closure or consolidation costs, lease or contract termination costs, and other related expenses. The restructuring programs may be implemented due to the sale or discontinuation of a product line, reorganization or management structure changes, headcount rationalization, realignment of operations or products, and/or company-wide cost saving initiatives. The amount and/or frequency of these restructuring charges are not part of the Company’s normal business operations. Employee severance costs are generally recognized when payments are probable and amounts are reasonably estimable. Costs related to contracts without future benefit or contract termination are recognized at fair value at the earlier of the contract termination or the cease-use dates. Other exit-related costs are expensed as incurred. See Note 22 –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xml:space="preserve"> for additional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Variable Interest Entity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holds a variable interest in VE Netting, LLC. The joint venture is a manufacturing, marketing and selling company of high-quality netting solutions for the meat and poultry industry. VE Netting, LLC is a Delaware limited liability company with its principal place of business in Lombard, IL. The netting product is manufactured under agreement by Viskase’s affiliate located in Monterrey, Mexico. VE Netting, LLC was determined to be a variable interest entity (VIE) in accordance with ASC Topic 810, </w:t>
      </w:r>
      <w:r>
        <w:rPr>
          <w:rFonts w:ascii="Times New Roman" w:cs="Times New Roman" w:eastAsia="Times New Roman" w:hAnsi="Times New Roman"/>
          <w:sz w:val="18"/>
          <w:szCs w:val="18"/>
          <w:i w:val="1"/>
          <w:iCs w:val="1"/>
          <w:color w:val="auto"/>
        </w:rPr>
        <w:t>Consolidations</w:t>
      </w:r>
      <w:r>
        <w:rPr>
          <w:rFonts w:ascii="Times New Roman" w:cs="Times New Roman" w:eastAsia="Times New Roman" w:hAnsi="Times New Roman"/>
          <w:sz w:val="18"/>
          <w:szCs w:val="18"/>
          <w:color w:val="auto"/>
        </w:rPr>
        <w:t xml:space="preserve">, for which the Company is the primary beneficiary, as the Company has the power to direct activities that most significantly impact the economic performance and has the right to receive benefits and losses that may potentially be significant. As the primary beneficiary of the VIE, the VIEs’ assets, liabilities, and results of operations are included in the Company’s consolidated financial statements as of, and for the period ended, December 31, 2025 and December 31, 2024. The other equity holders’ interests are reflected in “Net loss attributable to noncontrolling interests” in the Consolidated Statements of Operations and “Noncontrolling interests” in the Consolidated Balance Sheets. See Note 20 - </w:t>
      </w:r>
      <w:r>
        <w:rPr>
          <w:rFonts w:ascii="Times New Roman" w:cs="Times New Roman" w:eastAsia="Times New Roman" w:hAnsi="Times New Roman"/>
          <w:sz w:val="18"/>
          <w:szCs w:val="18"/>
          <w:i w:val="1"/>
          <w:iCs w:val="1"/>
          <w:color w:val="auto"/>
        </w:rPr>
        <w:t>Variable Interest Entity</w:t>
      </w:r>
      <w:r>
        <w:rPr>
          <w:rFonts w:ascii="Times New Roman" w:cs="Times New Roman" w:eastAsia="Times New Roman" w:hAnsi="Times New Roman"/>
          <w:sz w:val="18"/>
          <w:szCs w:val="18"/>
          <w:color w:val="auto"/>
        </w:rPr>
        <w:t xml:space="preserve"> for standalone financial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comprehensive income (loss) includes all other non-stockholder changes in equity. Changes in other comprehensive income (loss) in 2025, 2024 and 2023 resulted from changes in foreign currency translation and pension liability.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other comprehensive income (loss) consists of cumulative changes in foreign currency translation and pension liability.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revenues are comprised of product sales to customers, including distributors and end users. The Company’s performance obligation is defined as the promise to deliver the specified products in a purchase order. Revenue is recognized at the point in time in which the customer obtains control of the product, which is generally when product title passes to the customer according to the shipping terms dictated in the contract. In most contracts, title transfers upon shipment of the product; however, in some cases, title does not transfer until the customer has received the products at their specified location.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is recorded at the transaction price, which is the amount of consideration the Company expects to receive in exchange for providing its products to customers.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transaction price may be adjusted for estimates of known or expected variable consideration, including consumer incentives, trade promotions, and rebate programs. The Company estimates the amount of variable consideration that will be realized and records the estimate as a reduction to the transaction price. These estimates are based on historical experience, anticipated performance and the Company’s best judgment at the time. In determining whether an estimate of variable consideration is constrained, we consider the likelihood and magnitude of a potential revenue reversal. The Company’s provision for variable consideration is recorded at contract inception and reviewed and updated regularly as new information arises throughout the contract term. Any adjustments due to resolved uncertainties or new information are recognized in the period in which the adjustment is identified.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both"/>
        <w:spacing w:after="0" w:line="266" w:lineRule="auto"/>
        <w:rPr>
          <w:sz w:val="20"/>
          <w:szCs w:val="20"/>
          <w:color w:val="auto"/>
        </w:rPr>
      </w:pPr>
      <w:r>
        <w:rPr>
          <w:rFonts w:ascii="Times New Roman" w:cs="Times New Roman" w:eastAsia="Times New Roman" w:hAnsi="Times New Roman"/>
          <w:sz w:val="18"/>
          <w:szCs w:val="18"/>
          <w:color w:val="auto"/>
        </w:rPr>
        <w:t>Sales, value add, and other taxes collected from customers and remitted to governmental authorities are excluded from the transaction price, while shipping and handling fees reimbursed by the customer are included in the transaction price and recorded on a gross basis on the income statement. The Company generally does not offer warranties or a right to return on the products it sells except in the instance of a product defect or mis-ship.</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Payment terms vary by customer; however, the time between invoicing and payment is not significant. None of the Company’s customer contracts as of December 31, 2025 and 2024 contain a significant financing component.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Shipping and Handling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periodically bills customers for shipping charges. These amounts are included in net sales, with the associated costs included in cost of sales.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Repairs and Maintenance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Routine repairs and maintenance are charged to operations as incurred. Improvements and major repairs, which extend the useful life of an asset, are capitalized and depreciated.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transact business in various foreign currencies. In general, the functional currency of a foreign operation is the local country’s currency. Consequently, revenues and expenses of operations outside the U.S. are translated into U.S. Dollars using average exchange rates while assets and liabilities of operations outside the U.S. are translated into U.S. Dollars using exchange rates at the balance sheet dates. The effects of foreign currency translation adjustments are included in stockholders’ equity as a component of accumulated other comprehensive loss in the accompanying consolidated balance sheets and related periodic movements are summarized as a line item in our consolidated statements of comprehensive income (loss). Net foreign exchange transaction losses (gains) included in other expenses, net in the accompanying consolidated statements of operations were $2,046, $8,648 and $(905) for the years ended December 31, 2025, 2024 and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calculated basic loss per share by dividing net loss by the weighted-average number of shares of common stock outstanding during the period. Diluted loss per share is computed by dividing net loss by the weighted-average number of shares of common stock outstanding during the period increased to include, if dilutive, the number of additional common shares that would have been outstanding if the potential common shares had been issued.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no potentially dilutive securities for each period presented. Accordingly, basic and diluted net loss per share attributable to common stockholders are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Operating segments are identified as components of an enterprise about which separate discrete financial information is available for evaluation by the chief operating decision maker in making decisions regarding resource allocation and assessing performance. To date, the Company’s chief operating decision maker makes such decisions and assesses performance at the geographic region level, including North America, South America, EMEA, and Asia which are the Company’s four reportable segments under ASC 280. See Note 16, </w:t>
      </w:r>
      <w:r>
        <w:rPr>
          <w:rFonts w:ascii="Times New Roman" w:cs="Times New Roman" w:eastAsia="Times New Roman" w:hAnsi="Times New Roman"/>
          <w:sz w:val="18"/>
          <w:szCs w:val="18"/>
          <w:i w:val="1"/>
          <w:iCs w:val="1"/>
          <w:color w:val="auto"/>
        </w:rPr>
        <w:t>Business Segment Information and Geographic Area Information</w:t>
      </w:r>
      <w:r>
        <w:rPr>
          <w:rFonts w:ascii="Times New Roman" w:cs="Times New Roman" w:eastAsia="Times New Roman" w:hAnsi="Times New Roman"/>
          <w:sz w:val="18"/>
          <w:szCs w:val="18"/>
          <w:color w:val="auto"/>
        </w:rPr>
        <w:t xml:space="preserve"> for further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Segment Reporting (Topic 280) – Improvements to Reportable Segment Disclosures, which includes requirements for more robust disclosures of significant segment expenses and measures of a segment’s profit and loss used in assessing performance. This standard is effective for the Company’s annual period beginning January 1, 2024 and interim periods beginning January 1, 2025 with early adoptions permitted. The Company adopted this accounting standard as of January 1, 2024. See Note 16, </w:t>
      </w:r>
      <w:r>
        <w:rPr>
          <w:rFonts w:ascii="Times New Roman" w:cs="Times New Roman" w:eastAsia="Times New Roman" w:hAnsi="Times New Roman"/>
          <w:sz w:val="18"/>
          <w:szCs w:val="18"/>
          <w:i w:val="1"/>
          <w:iCs w:val="1"/>
          <w:color w:val="auto"/>
        </w:rPr>
        <w:t>Business Segment Information and Geographic Area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w:t>
      </w:r>
      <w:r>
        <w:rPr>
          <w:rFonts w:ascii="Times New Roman" w:cs="Times New Roman" w:eastAsia="Times New Roman" w:hAnsi="Times New Roman"/>
          <w:sz w:val="18"/>
          <w:szCs w:val="18"/>
          <w:color w:val="auto"/>
        </w:rPr>
        <w:t>for the Company’s segments disclosures. Our adoption did not result in a material impact to our consolidated financial statements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Income Taxes (Topic 740) – Improvements to Income Tax Disclosures, which requires enhanced income tax disclosures that reflect how operations and related tax risks, as well as how tax planning and operational opportunities, affect the tax rate and prospects for future cash flows. This standard is effective for the Company beginning January 1, 2025 with early adoption permitted. The ASU should be applied on a prospective basis but retrospective application is permitted. The adoption of this guidance will modify disclosures in the Company’s consolidated financial statements. Our adoption on prospective basis has not resulted in a material impact on our disclosures in Note 11, </w:t>
      </w:r>
      <w:r>
        <w:rPr>
          <w:rFonts w:ascii="Times New Roman" w:cs="Times New Roman" w:eastAsia="Times New Roman" w:hAnsi="Times New Roman"/>
          <w:sz w:val="18"/>
          <w:szCs w:val="18"/>
          <w:i w:val="1"/>
          <w:iCs w:val="1"/>
          <w:color w:val="auto"/>
        </w:rPr>
        <w:t>Income Taxes.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which requires disclosure of specific information about costs and expenses within relevant expense captions on the face of the income statement, qualitative descriptions for expense captions not specifically disaggregated quantitatively, and the total amount and definition of selling expenses for interim and annual reporting periods. This standard is effective for the Company’s annual reporting period beginning January 1, 2027 and interim reporting periods beginning January 1, 2028 and should be applied on a retrospective or prospective basis, with early adoption permitted. We are currently assessing the impact of adopting this standard on our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amounts in the prior period financial statements have been reclassified to conform to the presentation of the current period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immaterial reclassifications had no effect on the previously reported net income or net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 Cash and Cash Equivalents</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consist of the following:</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7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0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December 31, 2024, cash held in foreign banks was $6,523, and $5,069,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letters of credit for $685 were outstanding under our New Senior Credit Facility.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Receivables, Net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Receivables net, consist of the following:</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320" w:type="dxa"/>
            <w:vAlign w:val="bottom"/>
          </w:tcPr>
          <w:p>
            <w:pPr>
              <w:spacing w:after="0"/>
              <w:rPr>
                <w:sz w:val="24"/>
                <w:szCs w:val="24"/>
                <w:color w:val="auto"/>
              </w:rPr>
            </w:pPr>
          </w:p>
        </w:tc>
        <w:tc>
          <w:tcPr>
            <w:tcW w:w="16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2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63,123</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77,466</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0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(2,941)</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(2,657)</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74,809</w:t>
            </w:r>
          </w:p>
        </w:tc>
        <w:tc>
          <w:tcPr>
            <w:tcW w:w="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tcPr>
          <w:p>
            <w:pPr>
              <w:spacing w:after="0"/>
              <w:rPr>
                <w:sz w:val="24"/>
                <w:szCs w:val="24"/>
                <w:color w:val="auto"/>
              </w:rPr>
            </w:pPr>
          </w:p>
        </w:tc>
        <w:tc>
          <w:tcPr>
            <w:tcW w:w="178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Pr>
          <w:p>
            <w:pPr>
              <w:spacing w:after="0"/>
              <w:rPr>
                <w:sz w:val="24"/>
                <w:szCs w:val="24"/>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2,657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(recoveries)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18"/>
                <w:szCs w:val="18"/>
                <w:color w:val="auto"/>
              </w:rPr>
            </w:pPr>
          </w:p>
        </w:tc>
        <w:tc>
          <w:tcPr>
            <w:tcW w:w="17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and translation</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7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2,941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Inventories, Net</w:t>
            </w: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 consists of the following:</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320" w:type="dxa"/>
            <w:vAlign w:val="bottom"/>
          </w:tcPr>
          <w:p>
            <w:pPr>
              <w:spacing w:after="0"/>
              <w:rPr>
                <w:sz w:val="24"/>
                <w:szCs w:val="24"/>
                <w:color w:val="auto"/>
              </w:rPr>
            </w:pPr>
          </w:p>
        </w:tc>
        <w:tc>
          <w:tcPr>
            <w:tcW w:w="16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2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27,141</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29,991</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00" w:type="dxa"/>
            <w:vAlign w:val="bottom"/>
          </w:tcPr>
          <w:p>
            <w:pPr>
              <w:spacing w:after="0"/>
              <w:rPr>
                <w:sz w:val="18"/>
                <w:szCs w:val="18"/>
                <w:color w:val="auto"/>
              </w:rPr>
            </w:pP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38,106</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42,940</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products</w:t>
            </w:r>
          </w:p>
        </w:tc>
        <w:tc>
          <w:tcPr>
            <w:tcW w:w="2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31,508</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36,037</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96,755</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108,968</w:t>
            </w:r>
          </w:p>
        </w:tc>
        <w:tc>
          <w:tcPr>
            <w:tcW w:w="8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associated with property, plant and equipment was $17,250, $22,443 and $23,617 for the years ended December 31, 2025, 2024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 consists of the following: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2025</w:t>
            </w:r>
          </w:p>
        </w:tc>
        <w:tc>
          <w:tcPr>
            <w:tcW w:w="140" w:type="dxa"/>
            <w:vAlign w:val="bottom"/>
          </w:tcPr>
          <w:p>
            <w:pPr>
              <w:spacing w:after="0"/>
              <w:rPr>
                <w:sz w:val="24"/>
                <w:szCs w:val="24"/>
                <w:color w:val="auto"/>
              </w:rPr>
            </w:pP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09"/>
        </w:trPr>
        <w:tc>
          <w:tcPr>
            <w:tcW w:w="6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55,331</w:t>
            </w:r>
          </w:p>
        </w:tc>
        <w:tc>
          <w:tcPr>
            <w:tcW w:w="14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52,847</w:t>
            </w: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354,178</w:t>
            </w: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345,730</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28,981</w:t>
            </w:r>
          </w:p>
        </w:tc>
        <w:tc>
          <w:tcPr>
            <w:tcW w:w="14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25,931</w:t>
            </w:r>
          </w:p>
        </w:tc>
      </w:tr>
      <w:tr>
        <w:trPr>
          <w:trHeight w:val="229"/>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41,956</w:t>
            </w:r>
          </w:p>
        </w:tc>
        <w:tc>
          <w:tcPr>
            <w:tcW w:w="1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11,730</w:t>
            </w:r>
          </w:p>
        </w:tc>
      </w:tr>
      <w:tr>
        <w:trPr>
          <w:trHeight w:val="223"/>
        </w:trPr>
        <w:tc>
          <w:tcPr>
            <w:tcW w:w="6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482,326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438,086</w:t>
            </w:r>
          </w:p>
        </w:tc>
        <w:tc>
          <w:tcPr>
            <w:tcW w:w="10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2025</w:t>
            </w:r>
          </w:p>
        </w:tc>
        <w:tc>
          <w:tcPr>
            <w:tcW w:w="140" w:type="dxa"/>
            <w:vAlign w:val="bottom"/>
          </w:tcPr>
          <w:p>
            <w:pPr>
              <w:spacing w:after="0"/>
              <w:rPr>
                <w:sz w:val="24"/>
                <w:szCs w:val="24"/>
                <w:color w:val="auto"/>
              </w:rPr>
            </w:pP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10"/>
        </w:trPr>
        <w:tc>
          <w:tcPr>
            <w:tcW w:w="6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31,691</w:t>
            </w:r>
          </w:p>
        </w:tc>
        <w:tc>
          <w:tcPr>
            <w:tcW w:w="14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27,419</w:t>
            </w: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292,736</w:t>
            </w: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272,077</w:t>
            </w:r>
          </w:p>
        </w:tc>
      </w:tr>
      <w:tr>
        <w:trPr>
          <w:trHeight w:val="230"/>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16,062</w:t>
            </w:r>
          </w:p>
        </w:tc>
        <w:tc>
          <w:tcPr>
            <w:tcW w:w="140" w:type="dxa"/>
            <w:vAlign w:val="bottom"/>
          </w:tcPr>
          <w:p>
            <w:pPr>
              <w:spacing w:after="0"/>
              <w:rPr>
                <w:sz w:val="19"/>
                <w:szCs w:val="19"/>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14,335</w:t>
            </w:r>
          </w:p>
        </w:tc>
      </w:tr>
      <w:tr>
        <w:trPr>
          <w:trHeight w:val="223"/>
        </w:trPr>
        <w:tc>
          <w:tcPr>
            <w:tcW w:w="65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Asset Impairment charges of $9,600 were recorded for the year ended December 31, 2025, in association with the closing of the Osceola, Arkansas plant and the removal of assets prior to the end of their useful lives. A loss on disposal of property, plant and equipment of $41 was recorded for the year ended December 31, 2024 related to the plant closure in Poland. For additional information on the plant closure see Note 22 -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Loss on disposal of property, plant and equipment relating to assets removed from service prior to the end of their useful lives of $512, $77 and $338 for the years ended December 31, 2025, 2024 and 2023,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Balance Sheet Details</w:t>
            </w: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 consist of the following:</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9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2025</w:t>
            </w:r>
          </w:p>
        </w:tc>
        <w:tc>
          <w:tcPr>
            <w:tcW w:w="140" w:type="dxa"/>
            <w:vAlign w:val="bottom"/>
          </w:tcPr>
          <w:p>
            <w:pPr>
              <w:spacing w:after="0"/>
              <w:rPr>
                <w:sz w:val="24"/>
                <w:szCs w:val="24"/>
                <w:color w:val="auto"/>
              </w:rPr>
            </w:pP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2024</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14,988</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Supplies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18,988</w:t>
            </w:r>
          </w:p>
        </w:tc>
        <w:tc>
          <w:tcPr>
            <w:tcW w:w="14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23,971</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3,797</w:t>
            </w:r>
          </w:p>
        </w:tc>
        <w:tc>
          <w:tcPr>
            <w:tcW w:w="1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7,245</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42,494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46,204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6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consist of the following:</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9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2025</w:t>
            </w:r>
          </w:p>
        </w:tc>
        <w:tc>
          <w:tcPr>
            <w:tcW w:w="140" w:type="dxa"/>
            <w:vAlign w:val="bottom"/>
          </w:tcPr>
          <w:p>
            <w:pPr>
              <w:spacing w:after="0"/>
              <w:rPr>
                <w:sz w:val="24"/>
                <w:szCs w:val="24"/>
                <w:color w:val="auto"/>
              </w:rPr>
            </w:pP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2024</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taxes receivable</w:t>
            </w:r>
          </w:p>
        </w:tc>
        <w:tc>
          <w:tcPr>
            <w:tcW w:w="1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10,295</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1,853</w:t>
            </w:r>
          </w:p>
        </w:tc>
        <w:tc>
          <w:tcPr>
            <w:tcW w:w="140" w:type="dxa"/>
            <w:vAlign w:val="bottom"/>
          </w:tcPr>
          <w:p>
            <w:pPr>
              <w:spacing w:after="0"/>
              <w:rPr>
                <w:sz w:val="19"/>
                <w:szCs w:val="19"/>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604</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bottom w:val="single" w:sz="8" w:color="CCEEFF"/>
            </w:tcBorders>
            <w:shd w:val="clear" w:color="auto" w:fill="CCEEFF"/>
          </w:tcPr>
          <w:p>
            <w:pPr>
              <w:spacing w:after="0"/>
              <w:rPr>
                <w:sz w:val="19"/>
                <w:szCs w:val="19"/>
                <w:color w:val="auto"/>
              </w:rPr>
            </w:pPr>
          </w:p>
        </w:tc>
        <w:tc>
          <w:tcPr>
            <w:tcW w:w="17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9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w:t>
            </w: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4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December 31, 2025</w:t>
            </w:r>
          </w:p>
        </w:tc>
        <w:tc>
          <w:tcPr>
            <w:tcW w:w="100" w:type="dxa"/>
            <w:vAlign w:val="bottom"/>
          </w:tcPr>
          <w:p>
            <w:pPr>
              <w:spacing w:after="0"/>
              <w:rPr>
                <w:sz w:val="24"/>
                <w:szCs w:val="24"/>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2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3,973</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8,877</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volume and sales rebates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1,929</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5,513</w:t>
            </w:r>
          </w:p>
        </w:tc>
        <w:tc>
          <w:tcPr>
            <w:tcW w:w="10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3,802</w:t>
            </w:r>
          </w:p>
        </w:tc>
        <w:tc>
          <w:tcPr>
            <w:tcW w:w="0" w:type="dxa"/>
            <w:vAlign w:val="bottom"/>
          </w:tcPr>
          <w:p>
            <w:pPr>
              <w:spacing w:after="0"/>
              <w:rPr>
                <w:sz w:val="1"/>
                <w:szCs w:val="1"/>
                <w:color w:val="auto"/>
              </w:rPr>
            </w:pPr>
          </w:p>
        </w:tc>
      </w:tr>
      <w:tr>
        <w:trPr>
          <w:trHeight w:val="223"/>
        </w:trPr>
        <w:tc>
          <w:tcPr>
            <w:tcW w:w="5440" w:type="dxa"/>
            <w:vAlign w:val="bottom"/>
            <w:tcBorders>
              <w:top w:val="single" w:sz="8" w:color="CCEEFF"/>
              <w:bottom w:val="single" w:sz="8" w:color="CCEEFF"/>
            </w:tcBorders>
            <w:shd w:val="clear" w:color="auto" w:fill="CCEEFF"/>
          </w:tcPr>
          <w:p>
            <w:pPr>
              <w:spacing w:after="0"/>
              <w:rPr>
                <w:sz w:val="19"/>
                <w:szCs w:val="19"/>
                <w:color w:val="auto"/>
              </w:rPr>
            </w:pPr>
          </w:p>
        </w:tc>
        <w:tc>
          <w:tcPr>
            <w:tcW w:w="2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Debt Obligations</w:t>
            </w:r>
          </w:p>
        </w:tc>
        <w:tc>
          <w:tcPr>
            <w:tcW w:w="2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40" w:type="dxa"/>
            <w:vAlign w:val="bottom"/>
            <w:vMerge w:val="continue"/>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Debt obligations consist of the following:</w:t>
            </w: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4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December 31, 2025</w:t>
            </w:r>
          </w:p>
        </w:tc>
        <w:tc>
          <w:tcPr>
            <w:tcW w:w="100" w:type="dxa"/>
            <w:vAlign w:val="bottom"/>
          </w:tcPr>
          <w:p>
            <w:pPr>
              <w:spacing w:after="0"/>
              <w:rPr>
                <w:sz w:val="24"/>
                <w:szCs w:val="24"/>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2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Senior credit facility</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130,375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34,625</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 Line of Credit</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11,631</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9,905</w:t>
            </w: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short-term deferred financing costs</w:t>
            </w:r>
          </w:p>
        </w:tc>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8"/>
                <w:szCs w:val="18"/>
                <w:color w:val="auto"/>
              </w:rPr>
              <w:t>Total short-term debt</w:t>
            </w:r>
          </w:p>
        </w:tc>
        <w:tc>
          <w:tcPr>
            <w:tcW w:w="2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141,774</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Senior credit facility, net</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99,375</w:t>
            </w: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long-term deferred financing costs</w:t>
            </w:r>
          </w:p>
        </w:tc>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8"/>
                <w:szCs w:val="18"/>
                <w:color w:val="auto"/>
              </w:rPr>
              <w:t>Total long-term debt</w:t>
            </w:r>
          </w:p>
        </w:tc>
        <w:tc>
          <w:tcPr>
            <w:tcW w:w="2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99,281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debt</w:t>
            </w:r>
          </w:p>
        </w:tc>
        <w:tc>
          <w:tcPr>
            <w:tcW w:w="2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141,774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143,594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Senior Credit Facility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9, 2020, the Company and certain of its subsidiaries, entered into a certain Credit Agreement (the “Credit Agreement”) with the various lenders named therein and Bank of America, N.A., as administrative agent for the lenders (the “Administrative Agent”), providing for a $150,000 term loan (the “Term Loan”) and a $30,000 revolving credit facility (the “Revolving Credit Facility” and together with the Term Loan, the “Senior Credit Facility”) as amended by the First Amendment to Credit Agreement dated as of August 13, 2021, the Second Amendment to Credit Agreement dated as of August 10, 2022 and as further amended by the Limited Waiver and Third Amendment to Credit Agreement dated as of February 14, 2025 (the “Third Amendment”) as described below.</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Second Amendment to the Senior Credit Facility increased the commitment of the New Revolving Credit Facility to $37,000 and transitioned Term Loans on September 30, 2022 and Revolving Loans on August 30, 2022 from LIBOR Loans to SOFR Loans. Amended terms of the facility are stated below.</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Third Amendment includes a waiver on covenants for the year ended December 31, 2024, and a relief period for year 2025 (the “Covenant Relief Period”). During the Covenant Relief period, the consolidated leverage ratio will be increased to 4.00X through December 31, 2025. The consolidated fixed charge coverage ratio will be modified to include only maintenance capital expenditures and a year-to-date build basis for quarter end calculation. On December 31, 2025, the consolidated fixed charge coverage ratio will return to an LTM basis. During the Covenant Relief Period, restricted payments, permitted acquisitions and other investments as defined by the Credit Agreement are not allowed and the accordion feature of the credit facility, which allowed for an increase in borrowings under the facility has been suspended.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t>On July 26, 2025, the Company entered into the Fourth Amendment to its Senior Credit Facility. There were no changes to the facility amounts or maturity dates and repayment terms remained largely unchanged except for mandatory prepayments equal to $15,000 upon the closing of the Enzon Merger by December 31, 2025 or $11,250 if after December 31, 2025. The amendment also allows for certain exclusions relative to the merger for its financial covenants and EBIDTA addback amounts.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10, 2025, we finalized the fifth amendment to our credit agreement, which modified certain of our financial covenants.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23, 2026, we finalized the sixth amendment to our credit agreement, which includes a waiver on covenants for the year ended December 31, 2025. The Sixth Amendment, among other items, (i) requires Viskase to cooperate with the Administrative Agent’s financial advisor by providing access to Viskase’s facilities, financial information and senior management as required by the financial advisor and to reimburse the Administrative Agent for reasonable costs and fees associated with the engagement of the financial advisor’s services; (ii) subject to exceptions enumerated in the Sixth Amendment, Viskase and certain of its subsidiaries may not incur certain types of indebtedness of an aggregate of more than $100 at any one time; and (iii) Viskase and certain of its subsidiaries may not advance to officers, directors, and employees an aggregate amount greater than $50 at any one time.</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interest rates per annum applicable to the Amended Senior Credit Facility (other than in respect of Swingline Loans) will be SOFR, but in any event, not less than 0.00%, plus the Applicable Rate (as defined below), or, for U.S. dollar denominated loans only, made to the Company at the option of the Company, the Base Rate, defined as the highest of: (a) the Federal Funds Rate plus one-half percent (0.50%); (b) the Bank of America prime rate; and</w:t>
      </w:r>
    </w:p>
    <w:p>
      <w:pPr>
        <w:spacing w:after="0" w:line="1" w:lineRule="exact"/>
        <w:rPr>
          <w:sz w:val="20"/>
          <w:szCs w:val="20"/>
          <w:color w:val="auto"/>
        </w:rPr>
      </w:pPr>
    </w:p>
    <w:p>
      <w:pPr>
        <w:jc w:val="both"/>
        <w:ind w:firstLine="8"/>
        <w:spacing w:after="0" w:line="252" w:lineRule="auto"/>
        <w:tabs>
          <w:tab w:leader="none" w:pos="2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one (1) month SOFR (adjusted daily) plus one percent (1.00%), but in any case not less than 1.00%, plus the Applicable Rate. Applicable Rate means, with respect to the Amended Senior Credit Facility, a percentage per annum to be determined in accordance with the applicable pricing grid set forth in the Amended Senior Credit Facility based upon the Company’s Consolidated Coverage Ratio as reflected in a quarterly Compliance Certificate. Each Swingline Loan shall bear interest at the Base Rate plus the Applicable Rate for Base Rate loans under the New Revolving Credit Facility. As of December 31, 2025, our current interest rate is 6.77%. The effective interest rate of the Term Loan as of December 31, 2025 is 4.1%, which is determined in accordance with ASC 310-20-35, based on the variable rate in effect at inception of the instrument.</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Amended Senior Credit Facility requires the Company to repay principal of the New Term Loan at the rate of 5% of the original principal balance during each of the first two years, 7.5% during the third and fourth years and 10% of the original principal balance during the fifth year. The maturity date on the Amended Senior Credit Facility is August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may prepay the Amended Senior Credit Facility, in whole or in part, at any time without premium or penalty, subject to reimbursement of the Lenders’ breakage and redeployment costs in the case of prepayment of SOFR borrowings and foreign currency borrowings bearing interest at a rate other than SOFR. Each such prepayment of the New Term Facility shall be applied as directed by the Company. The unutilized portion of the commitments under the Amended Senior Credit Facility may be irrevocably reduced or terminated by the Company at any time without penalty.  </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Amended Senior Credit Facility is guaranteed by each existing and future direct and indirect wholly owned material domestic Restricted Subsidiary and foreign Restricted Subsidiary of the Company (other than any Brazilian subsidiary). The Amended Senior Credit Facility is secured by substantially all assets of the Company and its material domestic Restricted Subsidiaries, with the exception of real property.  </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Amended Senior Credit Facility contains various covenants which restrict the Company’s ability to, among other things, incur indebtedness, create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liens on our assets, make investments, enter into merger, consolidation or acquisition transactions, dispose of assets (other than in the ordinary course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make certain restricted payments, enter into sale and leaseback transactions and transactions with affiliates, in each case subject to permitted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exceptions. The Amended Senior Credit Facility also requires that we comply with certain financial covenants, including meeting a consolidated leverage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ratio and consolidated fixed charge coverage ratio.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2025 and 2024, the Company borrowed an additional $9,758 and $21,500, respectively, under the terms of the Senior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Facility. During the years ended December 31, 2025 and 2024, the company had repayments of $13,125 and $11,250, respectively.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recognized $ 8,421 and $9,752 of interest expense and $856 and $484 of deferred financing fee amortization for the years ended December 31, 2025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respectively. Interest expense and deferred financing fee amortization are included within interest expense, net in the consolidated statement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Lines of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its foreign operations, the Company has unsecured lines of credit with various banks providing approximately $12,500 of availability. There were borrowings of $12,229 and $9,905 under the lines of credit at December 31, 2025 and 2024, respectively. As of December 31, 2025, our current interest rate is 3.65%. As of December, 31, 2025, all borrowings under the Foreign Lines of Credit were due within 12 months and presented within short-term debt on the consolidated balance sheets. For the years ended December 31, 2025 and 2024, the Company incurred $424 and $590 of interest expense, respectively. The line of credit is an uncommitted facility that can be terminated at any time with payment on demand.  </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Maturity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aggregate maturities of debt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for each of the next five years are: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2029</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2030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Thereafter    </w:t>
            </w:r>
          </w:p>
        </w:tc>
      </w:tr>
      <w:tr>
        <w:trPr>
          <w:trHeight w:val="210"/>
        </w:trPr>
        <w:tc>
          <w:tcPr>
            <w:tcW w:w="2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420" w:type="dxa"/>
            <w:vAlign w:val="bottom"/>
            <w:tcBorders>
              <w:top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99,375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31,000 </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18"/>
                <w:szCs w:val="18"/>
                <w:color w:val="auto"/>
              </w:rPr>
            </w:pPr>
          </w:p>
        </w:tc>
        <w:tc>
          <w:tcPr>
            <w:tcW w:w="7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18"/>
                <w:szCs w:val="18"/>
                <w:color w:val="auto"/>
              </w:rPr>
            </w:pPr>
          </w:p>
        </w:tc>
        <w:tc>
          <w:tcPr>
            <w:tcW w:w="7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7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18"/>
                <w:szCs w:val="18"/>
                <w:color w:val="auto"/>
              </w:rPr>
            </w:pPr>
          </w:p>
        </w:tc>
        <w:tc>
          <w:tcPr>
            <w:tcW w:w="6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11,631 </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8"/>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142,006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5"/>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-2540</wp:posOffset>
            </wp:positionV>
            <wp:extent cx="52463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52463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-127635</wp:posOffset>
            </wp:positionV>
            <wp:extent cx="52463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52463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aggregate maturities of debt represent amounts to be paid at maturity and not the current carrying value of the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jc w:val="both"/>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operating leases primarily for real estate, equipment, and vehicles. Our lease agreements do not contain any material residual value guarantees or material restrictive covenants. The remaining lease terms for our leases range from 1 month to 14 years. These leases often include options to extend the term of the lease which may be for periods of up to 10 years. When it is reasonably certain that the option will be exercised, the impact of the renewal term is included in the lease term for purposes of determining total future lease payments and measuring the ROU asset and lease liability. We apply the short-term lease policy election, which allows us to exclude from recognition leases with an original term of 12 months or less.</w:t>
      </w:r>
    </w:p>
    <w:p>
      <w:pPr>
        <w:spacing w:after="0" w:line="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ROU assets and lease liabilities are as follows:</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10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December 31, 2025   </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December 31, 2024   </w:t>
            </w:r>
          </w:p>
        </w:tc>
        <w:tc>
          <w:tcPr>
            <w:tcW w:w="0" w:type="dxa"/>
            <w:vAlign w:val="bottom"/>
          </w:tcPr>
          <w:p>
            <w:pPr>
              <w:spacing w:after="0"/>
              <w:rPr>
                <w:sz w:val="1"/>
                <w:szCs w:val="1"/>
                <w:color w:val="auto"/>
              </w:rPr>
            </w:pPr>
          </w:p>
        </w:tc>
      </w:tr>
      <w:tr>
        <w:trPr>
          <w:trHeight w:val="20"/>
        </w:trPr>
        <w:tc>
          <w:tcPr>
            <w:tcW w:w="34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4100" w:type="dxa"/>
            <w:vAlign w:val="bottom"/>
            <w:tcBorders>
              <w:right w:val="single" w:sz="8" w:color="CCEEFF"/>
            </w:tcBorders>
            <w:vMerge w:val="restart"/>
            <w:shd w:val="clear" w:color="auto" w:fill="CCEEFF"/>
          </w:tcPr>
          <w:p>
            <w:pPr>
              <w:ind w:left="39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60" w:type="dxa"/>
            <w:vAlign w:val="bottom"/>
            <w:vMerge w:val="continue"/>
            <w:shd w:val="clear" w:color="auto" w:fill="CCEEFF"/>
          </w:tcPr>
          <w:p>
            <w:pPr>
              <w:spacing w:after="0"/>
              <w:rPr>
                <w:sz w:val="18"/>
                <w:szCs w:val="18"/>
                <w:color w:val="auto"/>
              </w:rPr>
            </w:pPr>
          </w:p>
        </w:tc>
        <w:tc>
          <w:tcPr>
            <w:tcW w:w="410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75"/>
              </w:rPr>
              <w:t> </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   ROU assets</w:t>
            </w:r>
          </w:p>
        </w:tc>
        <w:tc>
          <w:tcPr>
            <w:tcW w:w="422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19,946 </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19,190 </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Lease liabilities</w:t>
            </w:r>
          </w:p>
        </w:tc>
        <w:tc>
          <w:tcPr>
            <w:tcW w:w="4100" w:type="dxa"/>
            <w:vAlign w:val="bottom"/>
            <w:tcBorders>
              <w:right w:val="single" w:sz="8" w:color="CCEEFF"/>
            </w:tcBorders>
            <w:shd w:val="clear" w:color="auto" w:fill="CCEEFF"/>
          </w:tcPr>
          <w:p>
            <w:pPr>
              <w:ind w:left="39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gridSpan w:val="4"/>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22,230     </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21,717 </w:t>
            </w:r>
          </w:p>
        </w:tc>
        <w:tc>
          <w:tcPr>
            <w:tcW w:w="0" w:type="dxa"/>
            <w:vAlign w:val="bottom"/>
          </w:tcPr>
          <w:p>
            <w:pPr>
              <w:spacing w:after="0"/>
              <w:rPr>
                <w:sz w:val="1"/>
                <w:szCs w:val="1"/>
                <w:color w:val="auto"/>
              </w:rPr>
            </w:pPr>
          </w:p>
        </w:tc>
      </w:tr>
      <w:tr>
        <w:trPr>
          <w:trHeight w:val="218"/>
        </w:trPr>
        <w:tc>
          <w:tcPr>
            <w:tcW w:w="3460" w:type="dxa"/>
            <w:vAlign w:val="bottom"/>
          </w:tcPr>
          <w:p>
            <w:pPr>
              <w:spacing w:after="0"/>
              <w:rPr>
                <w:sz w:val="18"/>
                <w:szCs w:val="18"/>
                <w:color w:val="auto"/>
              </w:rPr>
            </w:pPr>
          </w:p>
        </w:tc>
        <w:tc>
          <w:tcPr>
            <w:tcW w:w="41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The following is an analysis of leased property under financing leases by major classes as of December 31, 2025 and 2024:</w:t>
      </w:r>
    </w:p>
    <w:tbl>
      <w:tblPr>
        <w:tblLayout w:type="fixed"/>
        <w:tblInd w:w="0" w:type="dxa"/>
        <w:tblCellMar>
          <w:top w:w="0" w:type="dxa"/>
          <w:left w:w="0" w:type="dxa"/>
          <w:bottom w:w="0" w:type="dxa"/>
          <w:right w:w="0" w:type="dxa"/>
        </w:tblCellMar>
      </w:tblPr>
      <w:tr>
        <w:trPr>
          <w:trHeight w:val="205"/>
        </w:trPr>
        <w:tc>
          <w:tcPr>
            <w:tcW w:w="39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December 31,</w:t>
            </w:r>
          </w:p>
        </w:tc>
        <w:tc>
          <w:tcPr>
            <w:tcW w:w="100" w:type="dxa"/>
            <w:vAlign w:val="bottom"/>
          </w:tcPr>
          <w:p>
            <w:pPr>
              <w:spacing w:after="0"/>
              <w:rPr>
                <w:sz w:val="18"/>
                <w:szCs w:val="18"/>
                <w:color w:val="auto"/>
              </w:rPr>
            </w:pPr>
          </w:p>
        </w:tc>
        <w:tc>
          <w:tcPr>
            <w:tcW w:w="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w w:val="85"/>
              </w:rPr>
              <w:t>   </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December 31,</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5"/>
              </w:rPr>
              <w:t> </w:t>
            </w:r>
          </w:p>
        </w:tc>
      </w:tr>
      <w:tr>
        <w:trPr>
          <w:trHeight w:val="24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w w:val="85"/>
              </w:rPr>
              <w:t>   </w:t>
            </w: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5"/>
              </w:rPr>
              <w:t> </w:t>
            </w: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720" w:type="dxa"/>
            <w:vAlign w:val="bottom"/>
            <w:tcBorders>
              <w:top w:val="single" w:sz="8" w:color="CCEEFF"/>
            </w:tcBorders>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 </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 </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82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4"/>
          </w:tcPr>
          <w:p>
            <w:pPr>
              <w:jc w:val="right"/>
              <w:ind w:right="1"/>
              <w:spacing w:after="0"/>
              <w:rPr>
                <w:sz w:val="20"/>
                <w:szCs w:val="20"/>
                <w:color w:val="auto"/>
              </w:rPr>
            </w:pPr>
            <w:r>
              <w:rPr>
                <w:rFonts w:ascii="Times New Roman" w:cs="Times New Roman" w:eastAsia="Times New Roman" w:hAnsi="Times New Roman"/>
                <w:sz w:val="18"/>
                <w:szCs w:val="18"/>
                <w:color w:val="auto"/>
              </w:rPr>
              <w:t>3,599     </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3,599 </w:t>
            </w:r>
          </w:p>
        </w:tc>
      </w:tr>
      <w:tr>
        <w:trPr>
          <w:trHeight w:val="23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2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(4,052)   </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   </w:t>
            </w:r>
          </w:p>
        </w:tc>
        <w:tc>
          <w:tcPr>
            <w:tcW w:w="1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3"/>
                <w:szCs w:val="13"/>
                <w:color w:val="auto"/>
                <w:w w:val="75"/>
              </w:rPr>
              <w:t> </w:t>
            </w: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5"/>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-2540</wp:posOffset>
            </wp:positionV>
            <wp:extent cx="17145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-127635</wp:posOffset>
            </wp:positionV>
            <wp:extent cx="1714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with respect to our operating and finance leases as of December 31, 2025 is presented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860" w:type="dxa"/>
            <w:vAlign w:val="bottom"/>
            <w:tcBorders>
              <w:bottom w:val="single" w:sz="8" w:color="CCEEFF"/>
            </w:tcBorders>
          </w:tcPr>
          <w:p>
            <w:pPr>
              <w:ind w:left="17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Operating</w:t>
            </w: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r>
      <w:tr>
        <w:trPr>
          <w:trHeight w:val="209"/>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86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 </w:t>
            </w:r>
          </w:p>
        </w:tc>
      </w:tr>
      <w:tr>
        <w:trPr>
          <w:trHeight w:val="198"/>
        </w:trPr>
        <w:tc>
          <w:tcPr>
            <w:tcW w:w="5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discount rate</w:t>
            </w:r>
          </w:p>
        </w:tc>
        <w:tc>
          <w:tcPr>
            <w:tcW w:w="2020" w:type="dxa"/>
            <w:vAlign w:val="bottom"/>
            <w:gridSpan w:val="2"/>
          </w:tcPr>
          <w:p>
            <w:pPr>
              <w:ind w:left="178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color w:val="auto"/>
              </w:rPr>
              <w:t>7.50%</w:t>
            </w: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expense consists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December 31, 2025</w:t>
            </w:r>
          </w:p>
        </w:tc>
        <w:tc>
          <w:tcPr>
            <w:tcW w:w="10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rent expense</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Leases:</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flow information related to leases is as follows:</w:t>
            </w: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52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December 31, 2025     </w:t>
            </w:r>
          </w:p>
        </w:tc>
        <w:tc>
          <w:tcPr>
            <w:tcW w:w="100" w:type="dxa"/>
            <w:vAlign w:val="bottom"/>
          </w:tcPr>
          <w:p>
            <w:pPr>
              <w:spacing w:after="0"/>
              <w:rPr>
                <w:sz w:val="19"/>
                <w:szCs w:val="19"/>
                <w:color w:val="auto"/>
              </w:rPr>
            </w:pPr>
          </w:p>
        </w:tc>
        <w:tc>
          <w:tcPr>
            <w:tcW w:w="1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December 31, 2024   </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740" w:type="dxa"/>
            <w:vAlign w:val="bottom"/>
            <w:vMerge w:val="restart"/>
            <w:shd w:val="clear" w:color="auto" w:fill="CCEEFF"/>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82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3"/>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6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1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   Cash used in operating activities (operating leases)</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4,893    $</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4,564 </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Cash used in operating activities (financing leases)</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59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   ROU assets obtained in exchange for lease obligations (operating leases)</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3"/>
          </w:tcPr>
          <w:p>
            <w:pPr>
              <w:ind w:left="70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190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color w:val="auto"/>
              </w:rPr>
              <w:t>1,186    $</w:t>
            </w:r>
          </w:p>
        </w:tc>
        <w:tc>
          <w:tcPr>
            <w:tcW w:w="168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239 </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2025 are as follows:</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3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  Operating Leases  </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Year</w:t>
            </w:r>
          </w:p>
        </w:tc>
        <w:tc>
          <w:tcPr>
            <w:tcW w:w="2320" w:type="dxa"/>
            <w:vAlign w:val="bottom"/>
            <w:gridSpan w:val="5"/>
            <w:vMerge w:val="continue"/>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75"/>
              </w:rPr>
              <w:t> </w:t>
            </w: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 </w:t>
            </w: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4,823 </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 </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2,910 </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 </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9,209 </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Total lease payments</w:t>
            </w:r>
          </w:p>
        </w:tc>
        <w:tc>
          <w:tcPr>
            <w:tcW w:w="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29,198 </w:t>
            </w:r>
          </w:p>
        </w:tc>
        <w:tc>
          <w:tcPr>
            <w:tcW w:w="60" w:type="dxa"/>
            <w:vAlign w:val="bottom"/>
            <w:vMerge w:val="continue"/>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   Less: discounted interest</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(6,968)</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75"/>
              </w:rPr>
              <w:t> </w:t>
            </w: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22,230</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Retirement Plans</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contributed $2,307 and $3,099 to pension benefits in the U.S. during the years ended December 31, 2025 and 2024, respectively.</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and its subsidiaries have defined contribution and defined benefit plans varying by country and subsidiary.</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right="2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operations in the United States, France, Phillipines and Germany historically offered defined benefit retirement plans (“Plan”) to their employees. Most of these benefits have been terminated, resulting in various reductions in liabilities and curtailment gains.</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Included in accumulated other comprehensive loss, net of tax is $(17,440) as of December 31, 2025 . The following amounts not yet recognized in net periodic benefit cost:</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193"/>
        </w:trPr>
        <w:tc>
          <w:tcPr>
            <w:tcW w:w="36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3"/>
          </w:tcPr>
          <w:p>
            <w:pPr>
              <w:jc w:val="center"/>
              <w:ind w:right="233"/>
              <w:spacing w:after="0" w:line="193" w:lineRule="exact"/>
              <w:rPr>
                <w:sz w:val="20"/>
                <w:szCs w:val="20"/>
                <w:color w:val="auto"/>
              </w:rPr>
            </w:pPr>
            <w:r>
              <w:rPr>
                <w:rFonts w:ascii="Times New Roman" w:cs="Times New Roman" w:eastAsia="Times New Roman" w:hAnsi="Times New Roman"/>
                <w:sz w:val="18"/>
                <w:szCs w:val="18"/>
                <w:color w:val="auto"/>
                <w:w w:val="99"/>
              </w:rPr>
              <w:t>Non U.S. Pension</w:t>
            </w:r>
          </w:p>
        </w:tc>
      </w:tr>
      <w:tr>
        <w:trPr>
          <w:trHeight w:val="24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540" w:type="dxa"/>
            <w:vAlign w:val="bottom"/>
            <w:gridSpan w:val="2"/>
          </w:tcPr>
          <w:p>
            <w:pPr>
              <w:ind w:left="3300"/>
              <w:spacing w:after="0"/>
              <w:rPr>
                <w:sz w:val="20"/>
                <w:szCs w:val="20"/>
                <w:color w:val="auto"/>
              </w:rPr>
            </w:pPr>
            <w:r>
              <w:rPr>
                <w:rFonts w:ascii="Times New Roman" w:cs="Times New Roman" w:eastAsia="Times New Roman" w:hAnsi="Times New Roman"/>
                <w:sz w:val="18"/>
                <w:szCs w:val="18"/>
                <w:color w:val="auto"/>
              </w:rPr>
              <w:t> </w:t>
            </w:r>
          </w:p>
        </w:tc>
        <w:tc>
          <w:tcPr>
            <w:tcW w:w="22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U.S. Pension Benefits     </w:t>
            </w:r>
          </w:p>
        </w:tc>
        <w:tc>
          <w:tcPr>
            <w:tcW w:w="11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Benefits</w:t>
            </w:r>
          </w:p>
        </w:tc>
        <w:tc>
          <w:tcPr>
            <w:tcW w:w="5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5"/>
              </w:rPr>
              <w:t> </w:t>
            </w: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actuarial (loss) gain</w:t>
            </w:r>
          </w:p>
        </w:tc>
        <w:tc>
          <w:tcPr>
            <w:tcW w:w="3420" w:type="dxa"/>
            <w:vAlign w:val="bottom"/>
            <w:tcBorders>
              <w:top w:val="single" w:sz="8" w:color="CCEEFF"/>
            </w:tcBorders>
            <w:shd w:val="clear" w:color="auto" w:fill="CCEEFF"/>
          </w:tcPr>
          <w:p>
            <w:pPr>
              <w:ind w:left="3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0"/>
              </w:rPr>
              <w:t>4,219 </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3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Prior service credit</w:t>
            </w:r>
          </w:p>
        </w:tc>
        <w:tc>
          <w:tcPr>
            <w:tcW w:w="3540" w:type="dxa"/>
            <w:vAlign w:val="bottom"/>
            <w:gridSpan w:val="2"/>
          </w:tcPr>
          <w:p>
            <w:pPr>
              <w:ind w:left="330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2200" w:type="dxa"/>
            <w:vAlign w:val="bottom"/>
            <w:gridSpan w:val="3"/>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1    $</w:t>
            </w:r>
          </w:p>
        </w:tc>
        <w:tc>
          <w:tcPr>
            <w:tcW w:w="1180" w:type="dxa"/>
            <w:vAlign w:val="bottom"/>
          </w:tcPr>
          <w:p>
            <w:pPr>
              <w:spacing w:after="0"/>
              <w:rPr>
                <w:sz w:val="17"/>
                <w:szCs w:val="17"/>
                <w:color w:val="auto"/>
              </w:rPr>
            </w:pPr>
          </w:p>
        </w:tc>
        <w:tc>
          <w:tcPr>
            <w:tcW w:w="6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26 </w:t>
            </w:r>
          </w:p>
        </w:tc>
      </w:tr>
      <w:tr>
        <w:trPr>
          <w:trHeight w:val="234"/>
        </w:trPr>
        <w:tc>
          <w:tcPr>
            <w:tcW w:w="3680" w:type="dxa"/>
            <w:vAlign w:val="bottom"/>
          </w:tcPr>
          <w:p>
            <w:pPr>
              <w:spacing w:after="0"/>
              <w:rPr>
                <w:sz w:val="20"/>
                <w:szCs w:val="20"/>
                <w:color w:val="auto"/>
              </w:rPr>
            </w:pPr>
          </w:p>
        </w:tc>
        <w:tc>
          <w:tcPr>
            <w:tcW w:w="3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included in other comprehensive income (loss) expected to be recognized as a component of net periodic benefit cost for the year ending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193"/>
        </w:trPr>
        <w:tc>
          <w:tcPr>
            <w:tcW w:w="4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gridSpan w:val="7"/>
          </w:tcPr>
          <w:p>
            <w:pPr>
              <w:jc w:val="right"/>
              <w:ind w:right="351"/>
              <w:spacing w:after="0" w:line="193" w:lineRule="exact"/>
              <w:rPr>
                <w:sz w:val="20"/>
                <w:szCs w:val="20"/>
                <w:color w:val="auto"/>
              </w:rPr>
            </w:pPr>
            <w:r>
              <w:rPr>
                <w:rFonts w:ascii="Times New Roman" w:cs="Times New Roman" w:eastAsia="Times New Roman" w:hAnsi="Times New Roman"/>
                <w:sz w:val="18"/>
                <w:szCs w:val="18"/>
                <w:color w:val="auto"/>
              </w:rPr>
              <w:t>Non U.S. Pension</w:t>
            </w:r>
          </w:p>
        </w:tc>
        <w:tc>
          <w:tcPr>
            <w:tcW w:w="0" w:type="dxa"/>
            <w:vAlign w:val="bottom"/>
          </w:tcPr>
          <w:p>
            <w:pPr>
              <w:spacing w:after="0"/>
              <w:rPr>
                <w:sz w:val="1"/>
                <w:szCs w:val="1"/>
                <w:color w:val="auto"/>
              </w:rPr>
            </w:pPr>
          </w:p>
        </w:tc>
      </w:tr>
      <w:tr>
        <w:trPr>
          <w:trHeight w:val="248"/>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2040" w:type="dxa"/>
            <w:vAlign w:val="bottom"/>
            <w:gridSpan w:val="8"/>
          </w:tcPr>
          <w:p>
            <w:pPr>
              <w:jc w:val="right"/>
              <w:ind w:right="10"/>
              <w:spacing w:after="0"/>
              <w:rPr>
                <w:sz w:val="20"/>
                <w:szCs w:val="20"/>
                <w:color w:val="auto"/>
              </w:rPr>
            </w:pPr>
            <w:r>
              <w:rPr>
                <w:rFonts w:ascii="Times New Roman" w:cs="Times New Roman" w:eastAsia="Times New Roman" w:hAnsi="Times New Roman"/>
                <w:sz w:val="18"/>
                <w:szCs w:val="18"/>
                <w:color w:val="auto"/>
              </w:rPr>
              <w:t>U.S. Pension Benefits     </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w w:val="99"/>
              </w:rPr>
              <w:t>Benefits</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actuarial (loss) gain</w:t>
            </w:r>
          </w:p>
        </w:tc>
        <w:tc>
          <w:tcPr>
            <w:tcW w:w="8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auto"/>
            </w:tcBorders>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right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measurement date for all defined benefit plans is December 31. The year-end status of the plans is as follows: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8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auto"/>
              </w:rPr>
              <w:t>    Non U.S. Pension Benefits</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gridSpan w:val="7"/>
          </w:tcPr>
          <w:p>
            <w:pPr>
              <w:jc w:val="right"/>
              <w:ind w:right="50"/>
              <w:spacing w:after="0"/>
              <w:rPr>
                <w:sz w:val="20"/>
                <w:szCs w:val="20"/>
                <w:color w:val="auto"/>
              </w:rPr>
            </w:pPr>
            <w:r>
              <w:rPr>
                <w:rFonts w:ascii="Times New Roman" w:cs="Times New Roman" w:eastAsia="Times New Roman" w:hAnsi="Times New Roman"/>
                <w:sz w:val="18"/>
                <w:szCs w:val="18"/>
                <w:color w:val="auto"/>
              </w:rPr>
              <w:t>U.S. Pension Benefits</w:t>
            </w:r>
          </w:p>
        </w:tc>
        <w:tc>
          <w:tcPr>
            <w:tcW w:w="420" w:type="dxa"/>
            <w:vAlign w:val="bottom"/>
          </w:tcPr>
          <w:p>
            <w:pPr>
              <w:spacing w:after="0"/>
              <w:rPr>
                <w:sz w:val="20"/>
                <w:szCs w:val="20"/>
                <w:color w:val="auto"/>
              </w:rPr>
            </w:pPr>
          </w:p>
        </w:tc>
        <w:tc>
          <w:tcPr>
            <w:tcW w:w="2280" w:type="dxa"/>
            <w:vAlign w:val="bottom"/>
            <w:gridSpan w:val="10"/>
            <w:vMerge w:val="continue"/>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top w:val="single" w:sz="8" w:color="auto"/>
              <w:bottom w:val="single" w:sz="8" w:color="auto"/>
            </w:tcBorders>
            <w:gridSpan w:val="2"/>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top w:val="single" w:sz="8" w:color="auto"/>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Projected benefit obligation at beginning of year</w:t>
            </w:r>
          </w:p>
        </w:tc>
        <w:tc>
          <w:tcPr>
            <w:tcW w:w="112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89,686 </w:t>
            </w: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95,385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19,715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21,030 </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 cost</w:t>
            </w:r>
          </w:p>
        </w:tc>
        <w:tc>
          <w:tcPr>
            <w:tcW w:w="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 </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 </w:t>
            </w: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cost</w:t>
            </w:r>
          </w:p>
        </w:tc>
        <w:tc>
          <w:tcPr>
            <w:tcW w:w="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4,866 </w:t>
            </w: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4,988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672 </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 amendments</w:t>
            </w:r>
          </w:p>
        </w:tc>
        <w:tc>
          <w:tcPr>
            <w:tcW w:w="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Actuarial (gain) loss</w:t>
            </w:r>
          </w:p>
        </w:tc>
        <w:tc>
          <w:tcPr>
            <w:tcW w:w="112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2,716 </w:t>
            </w: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Benefits paid</w:t>
            </w:r>
          </w:p>
        </w:tc>
        <w:tc>
          <w:tcPr>
            <w:tcW w:w="112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w:t>
            </w: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29"/>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Currency translation</w:t>
            </w:r>
          </w:p>
        </w:tc>
        <w:tc>
          <w:tcPr>
            <w:tcW w:w="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2,418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0"/>
        </w:trPr>
        <w:tc>
          <w:tcPr>
            <w:tcW w:w="4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continue"/>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right w:val="single" w:sz="8" w:color="CCEEFF"/>
            </w:tcBorders>
            <w:vMerge w:val="continue"/>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Estimated benefit obligation at end of year</w:t>
            </w:r>
          </w:p>
        </w:tc>
        <w:tc>
          <w:tcPr>
            <w:tcW w:w="112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89,787 </w:t>
            </w: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89,686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20,055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19,715 </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top w:val="single" w:sz="8" w:color="CCEEFF"/>
            </w:tcBorders>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top w:val="single" w:sz="8" w:color="auto"/>
            </w:tcBorders>
            <w:gridSpan w:val="2"/>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continue"/>
            <w:shd w:val="clear" w:color="auto" w:fill="CCEEFF"/>
          </w:tcPr>
          <w:p>
            <w:pPr>
              <w:spacing w:after="0"/>
              <w:rPr>
                <w:sz w:val="17"/>
                <w:szCs w:val="17"/>
                <w:color w:val="auto"/>
              </w:rPr>
            </w:pPr>
          </w:p>
        </w:tc>
        <w:tc>
          <w:tcPr>
            <w:tcW w:w="2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right w:val="single" w:sz="8" w:color="CCEEFF"/>
            </w:tcBorders>
            <w:vMerge w:val="continue"/>
            <w:shd w:val="clear" w:color="auto" w:fill="CCEEFF"/>
          </w:tcPr>
          <w:p>
            <w:pPr>
              <w:spacing w:after="0"/>
              <w:rPr>
                <w:sz w:val="17"/>
                <w:szCs w:val="17"/>
                <w:color w:val="auto"/>
              </w:rPr>
            </w:pPr>
          </w:p>
        </w:tc>
        <w:tc>
          <w:tcPr>
            <w:tcW w:w="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Change in plan assets:</w:t>
            </w:r>
          </w:p>
        </w:tc>
        <w:tc>
          <w:tcPr>
            <w:tcW w:w="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112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87,276 </w:t>
            </w: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87,538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 </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 </w:t>
            </w: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12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8,433 </w:t>
            </w: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4,202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Employer contribution</w:t>
            </w:r>
          </w:p>
        </w:tc>
        <w:tc>
          <w:tcPr>
            <w:tcW w:w="112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 </w:t>
            </w: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3,099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 </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 </w:t>
            </w: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 settlements</w:t>
            </w:r>
          </w:p>
        </w:tc>
        <w:tc>
          <w:tcPr>
            <w:tcW w:w="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Benefits paid</w:t>
            </w:r>
          </w:p>
        </w:tc>
        <w:tc>
          <w:tcPr>
            <w:tcW w:w="112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w:t>
            </w: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30"/>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Currency translation</w:t>
            </w:r>
          </w:p>
        </w:tc>
        <w:tc>
          <w:tcPr>
            <w:tcW w:w="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4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8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continue"/>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right w:val="single" w:sz="8" w:color="CCEEFF"/>
            </w:tcBorders>
            <w:vMerge w:val="continue"/>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112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90,535 </w:t>
            </w: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87,276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949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858 </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top w:val="single" w:sz="8" w:color="CCEEFF"/>
            </w:tcBorders>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top w:val="single" w:sz="8" w:color="auto"/>
            </w:tcBorders>
            <w:gridSpan w:val="2"/>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continue"/>
            <w:shd w:val="clear" w:color="auto" w:fill="CCEEFF"/>
          </w:tcPr>
          <w:p>
            <w:pPr>
              <w:spacing w:after="0"/>
              <w:rPr>
                <w:sz w:val="17"/>
                <w:szCs w:val="17"/>
                <w:color w:val="auto"/>
              </w:rPr>
            </w:pPr>
          </w:p>
        </w:tc>
        <w:tc>
          <w:tcPr>
            <w:tcW w:w="2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right w:val="single" w:sz="8" w:color="CCEEFF"/>
            </w:tcBorders>
            <w:vMerge w:val="continue"/>
            <w:shd w:val="clear" w:color="auto" w:fill="CCEEFF"/>
          </w:tcPr>
          <w:p>
            <w:pPr>
              <w:spacing w:after="0"/>
              <w:rPr>
                <w:sz w:val="17"/>
                <w:szCs w:val="17"/>
                <w:color w:val="auto"/>
              </w:rPr>
            </w:pPr>
          </w:p>
        </w:tc>
        <w:tc>
          <w:tcPr>
            <w:tcW w:w="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Unfunded status of the plan</w:t>
            </w:r>
          </w:p>
        </w:tc>
        <w:tc>
          <w:tcPr>
            <w:tcW w:w="112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748 </w:t>
            </w: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(2,410)   $</w:t>
            </w:r>
          </w:p>
        </w:tc>
        <w:tc>
          <w:tcPr>
            <w:tcW w:w="360" w:type="dxa"/>
            <w:vAlign w:val="bottom"/>
          </w:tcPr>
          <w:p>
            <w:pPr>
              <w:spacing w:after="0"/>
              <w:rPr>
                <w:sz w:val="21"/>
                <w:szCs w:val="21"/>
                <w:color w:val="auto"/>
              </w:rPr>
            </w:pPr>
          </w:p>
        </w:tc>
        <w:tc>
          <w:tcPr>
            <w:tcW w:w="1500" w:type="dxa"/>
            <w:vAlign w:val="bottom"/>
            <w:gridSpan w:val="6"/>
          </w:tcPr>
          <w:p>
            <w:pPr>
              <w:jc w:val="right"/>
              <w:ind w:right="430"/>
              <w:spacing w:after="0"/>
              <w:rPr>
                <w:sz w:val="20"/>
                <w:szCs w:val="20"/>
                <w:color w:val="auto"/>
              </w:rPr>
            </w:pPr>
            <w:r>
              <w:rPr>
                <w:rFonts w:ascii="Times New Roman" w:cs="Times New Roman" w:eastAsia="Times New Roman" w:hAnsi="Times New Roman"/>
                <w:sz w:val="18"/>
                <w:szCs w:val="18"/>
                <w:color w:val="auto"/>
              </w:rPr>
              <w:t>(19,106)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(18,857)</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line="20" w:lineRule="exact"/>
              <w:rPr>
                <w:sz w:val="1"/>
                <w:szCs w:val="1"/>
                <w:color w:val="auto"/>
              </w:rPr>
            </w:pPr>
          </w:p>
        </w:tc>
      </w:tr>
      <w:tr>
        <w:trPr>
          <w:trHeight w:val="192"/>
        </w:trPr>
        <w:tc>
          <w:tcPr>
            <w:tcW w:w="46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7"/>
          </w:tcPr>
          <w:p>
            <w:pPr>
              <w:jc w:val="right"/>
              <w:ind w:right="50"/>
              <w:spacing w:after="0"/>
              <w:rPr>
                <w:sz w:val="20"/>
                <w:szCs w:val="20"/>
                <w:color w:val="auto"/>
              </w:rPr>
            </w:pPr>
            <w:r>
              <w:rPr>
                <w:rFonts w:ascii="Times New Roman" w:cs="Times New Roman" w:eastAsia="Times New Roman" w:hAnsi="Times New Roman"/>
                <w:sz w:val="18"/>
                <w:szCs w:val="18"/>
                <w:color w:val="auto"/>
              </w:rPr>
              <w:t>U.S. Pension Benefits</w:t>
            </w:r>
          </w:p>
        </w:tc>
        <w:tc>
          <w:tcPr>
            <w:tcW w:w="420" w:type="dxa"/>
            <w:vAlign w:val="bottom"/>
            <w:tcBorders>
              <w:bottom w:val="single" w:sz="8" w:color="auto"/>
            </w:tcBorders>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8"/>
                <w:szCs w:val="18"/>
                <w:color w:val="auto"/>
              </w:rPr>
              <w:t>Non U.S. Pension Benefits</w:t>
            </w:r>
          </w:p>
        </w:tc>
        <w:tc>
          <w:tcPr>
            <w:tcW w:w="360" w:type="dxa"/>
            <w:vAlign w:val="bottom"/>
            <w:tcBorders>
              <w:bottom w:val="single" w:sz="8" w:color="auto"/>
            </w:tcBorders>
          </w:tcPr>
          <w:p>
            <w:pPr>
              <w:spacing w:after="0"/>
              <w:rPr>
                <w:sz w:val="20"/>
                <w:szCs w:val="20"/>
                <w:color w:val="auto"/>
              </w:rPr>
            </w:pP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auto"/>
            </w:tcBorders>
            <w:gridSpan w:val="2"/>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recognized in statement of financial position:</w:t>
            </w:r>
          </w:p>
        </w:tc>
        <w:tc>
          <w:tcPr>
            <w:tcW w:w="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assets</w:t>
            </w:r>
          </w:p>
        </w:tc>
        <w:tc>
          <w:tcPr>
            <w:tcW w:w="112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1,215 </w:t>
            </w: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84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  </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liabilities</w:t>
            </w:r>
          </w:p>
        </w:tc>
        <w:tc>
          <w:tcPr>
            <w:tcW w:w="112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9"/>
                <w:szCs w:val="19"/>
                <w:color w:val="auto"/>
              </w:rPr>
            </w:pPr>
          </w:p>
        </w:tc>
        <w:tc>
          <w:tcPr>
            <w:tcW w:w="8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(18,227)  </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(18,786)</w:t>
            </w:r>
          </w:p>
        </w:tc>
        <w:tc>
          <w:tcPr>
            <w:tcW w:w="0" w:type="dxa"/>
            <w:vAlign w:val="bottom"/>
          </w:tcPr>
          <w:p>
            <w:pPr>
              <w:spacing w:after="0"/>
              <w:rPr>
                <w:sz w:val="1"/>
                <w:szCs w:val="1"/>
                <w:color w:val="auto"/>
              </w:rPr>
            </w:pPr>
          </w:p>
        </w:tc>
      </w:tr>
      <w:tr>
        <w:trPr>
          <w:trHeight w:val="223"/>
        </w:trPr>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amount recognized</w:t>
            </w:r>
          </w:p>
        </w:tc>
        <w:tc>
          <w:tcPr>
            <w:tcW w:w="840" w:type="dxa"/>
            <w:vAlign w:val="bottom"/>
            <w:tcBorders>
              <w:top w:val="single" w:sz="8" w:color="CCEEFF"/>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(19,106</w:t>
            </w:r>
          </w:p>
        </w:tc>
        <w:tc>
          <w:tcPr>
            <w:tcW w:w="220" w:type="dxa"/>
            <w:vAlign w:val="bottom"/>
            <w:tcBorders>
              <w:top w:val="single" w:sz="8" w:color="CCEEFF"/>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w:t>
            </w:r>
          </w:p>
        </w:tc>
        <w:tc>
          <w:tcPr>
            <w:tcW w:w="6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funded status of these pension plans as a percentage of the projected benefit obligation was 83% in 2025 compared to 81% in 2024. The actuarial gain for 2025 was mainly due to the discount rate on U.S. pension benefits and changes in demographics on the foreign plans.  </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60" w:type="dxa"/>
            <w:vAlign w:val="bottom"/>
            <w:gridSpan w:val="2"/>
            <w:vMerge w:val="restart"/>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gridSpan w:val="2"/>
            <w:vMerge w:val="restart"/>
          </w:tcPr>
          <w:p>
            <w:pPr>
              <w:jc w:val="right"/>
              <w:ind w:right="196"/>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60" w:type="dxa"/>
            <w:vAlign w:val="bottom"/>
            <w:gridSpan w:val="2"/>
            <w:vMerge w:val="continue"/>
          </w:tcPr>
          <w:p>
            <w:pPr>
              <w:spacing w:after="0"/>
              <w:rPr>
                <w:sz w:val="20"/>
                <w:szCs w:val="20"/>
                <w:color w:val="auto"/>
              </w:rPr>
            </w:pPr>
          </w:p>
        </w:tc>
        <w:tc>
          <w:tcPr>
            <w:tcW w:w="19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U.S. Pension Benefits</w:t>
            </w:r>
          </w:p>
        </w:tc>
        <w:tc>
          <w:tcPr>
            <w:tcW w:w="520" w:type="dxa"/>
            <w:vAlign w:val="bottom"/>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21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Non U.S. Pension Benefits</w:t>
            </w:r>
          </w:p>
        </w:tc>
        <w:tc>
          <w:tcPr>
            <w:tcW w:w="32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top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20" w:type="dxa"/>
            <w:vAlign w:val="bottom"/>
            <w:tcBorders>
              <w:top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auto"/>
            </w:tcBorders>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09"/>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1680" w:type="dxa"/>
            <w:vAlign w:val="bottom"/>
            <w:tcBorders>
              <w:top w:val="single" w:sz="8" w:color="CCEEFF"/>
            </w:tcBorders>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89,787 </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89,686 </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6"/>
              </w:rPr>
              <w:t>20,055 </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0"/>
              </w:rPr>
              <w:t>19,715 </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Fair value of plan assets</w:t>
            </w:r>
          </w:p>
        </w:tc>
        <w:tc>
          <w:tcPr>
            <w:tcW w:w="1960" w:type="dxa"/>
            <w:vAlign w:val="bottom"/>
            <w:gridSpan w:val="2"/>
          </w:tcPr>
          <w:p>
            <w:pPr>
              <w:ind w:left="156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90,535 </w:t>
            </w:r>
          </w:p>
        </w:tc>
        <w:tc>
          <w:tcPr>
            <w:tcW w:w="4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6"/>
                <w:szCs w:val="16"/>
                <w:color w:val="auto"/>
              </w:rPr>
            </w:pPr>
          </w:p>
        </w:tc>
        <w:tc>
          <w:tcPr>
            <w:tcW w:w="960" w:type="dxa"/>
            <w:vAlign w:val="bottom"/>
            <w:gridSpan w:val="3"/>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rPr>
              <w:t>87,276    $</w:t>
            </w:r>
          </w:p>
        </w:tc>
        <w:tc>
          <w:tcPr>
            <w:tcW w:w="660" w:type="dxa"/>
            <w:vAlign w:val="bottom"/>
          </w:tcPr>
          <w:p>
            <w:pPr>
              <w:spacing w:after="0"/>
              <w:rPr>
                <w:sz w:val="16"/>
                <w:szCs w:val="16"/>
                <w:color w:val="auto"/>
              </w:rPr>
            </w:pPr>
          </w:p>
        </w:tc>
        <w:tc>
          <w:tcPr>
            <w:tcW w:w="820" w:type="dxa"/>
            <w:vAlign w:val="bottom"/>
            <w:gridSpan w:val="3"/>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949    $</w:t>
            </w:r>
          </w:p>
        </w:tc>
        <w:tc>
          <w:tcPr>
            <w:tcW w:w="660" w:type="dxa"/>
            <w:vAlign w:val="bottom"/>
          </w:tcPr>
          <w:p>
            <w:pPr>
              <w:spacing w:after="0"/>
              <w:rPr>
                <w:sz w:val="16"/>
                <w:szCs w:val="16"/>
                <w:color w:val="auto"/>
              </w:rPr>
            </w:pPr>
          </w:p>
        </w:tc>
        <w:tc>
          <w:tcPr>
            <w:tcW w:w="4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858 </w:t>
            </w:r>
          </w:p>
        </w:tc>
        <w:tc>
          <w:tcPr>
            <w:tcW w:w="0" w:type="dxa"/>
            <w:vAlign w:val="bottom"/>
          </w:tcPr>
          <w:p>
            <w:pPr>
              <w:spacing w:after="0"/>
              <w:rPr>
                <w:sz w:val="1"/>
                <w:szCs w:val="1"/>
                <w:color w:val="auto"/>
              </w:rPr>
            </w:pPr>
          </w:p>
        </w:tc>
      </w:tr>
      <w:tr>
        <w:trPr>
          <w:trHeight w:val="252"/>
        </w:trPr>
        <w:tc>
          <w:tcPr>
            <w:tcW w:w="384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1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772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Information for defined benefit plans with accumulated benefit obligations in excess of plan assets:               </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384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1960" w:type="dxa"/>
            <w:vAlign w:val="bottom"/>
            <w:gridSpan w:val="2"/>
            <w:vMerge w:val="restart"/>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40" w:type="dxa"/>
            <w:vAlign w:val="bottom"/>
            <w:gridSpan w:val="2"/>
            <w:vMerge w:val="restart"/>
          </w:tcPr>
          <w:p>
            <w:pPr>
              <w:jc w:val="right"/>
              <w:ind w:right="196"/>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60" w:type="dxa"/>
            <w:vAlign w:val="bottom"/>
            <w:gridSpan w:val="2"/>
            <w:vMerge w:val="continue"/>
          </w:tcPr>
          <w:p>
            <w:pPr>
              <w:spacing w:after="0"/>
              <w:rPr>
                <w:sz w:val="20"/>
                <w:szCs w:val="20"/>
                <w:color w:val="auto"/>
              </w:rPr>
            </w:pPr>
          </w:p>
        </w:tc>
        <w:tc>
          <w:tcPr>
            <w:tcW w:w="19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U.S. Pension Benefits</w:t>
            </w:r>
          </w:p>
        </w:tc>
        <w:tc>
          <w:tcPr>
            <w:tcW w:w="520" w:type="dxa"/>
            <w:vAlign w:val="bottom"/>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21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Non U.S. Pension Benefits</w:t>
            </w:r>
          </w:p>
        </w:tc>
        <w:tc>
          <w:tcPr>
            <w:tcW w:w="32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top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20" w:type="dxa"/>
            <w:vAlign w:val="bottom"/>
            <w:tcBorders>
              <w:top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auto"/>
            </w:tcBorders>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1680" w:type="dxa"/>
            <w:vAlign w:val="bottom"/>
            <w:tcBorders>
              <w:top w:val="single" w:sz="8" w:color="CCEEFF"/>
            </w:tcBorders>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89,787 </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89,686 </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6"/>
              </w:rPr>
              <w:t>20,055 </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0"/>
              </w:rPr>
              <w:t>19,715 </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Fair value of plan assets</w:t>
            </w:r>
          </w:p>
        </w:tc>
        <w:tc>
          <w:tcPr>
            <w:tcW w:w="1960" w:type="dxa"/>
            <w:vAlign w:val="bottom"/>
            <w:gridSpan w:val="2"/>
          </w:tcPr>
          <w:p>
            <w:pPr>
              <w:ind w:left="156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90,535 </w:t>
            </w:r>
          </w:p>
        </w:tc>
        <w:tc>
          <w:tcPr>
            <w:tcW w:w="42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7"/>
                <w:szCs w:val="17"/>
                <w:color w:val="auto"/>
              </w:rPr>
            </w:pPr>
          </w:p>
        </w:tc>
        <w:tc>
          <w:tcPr>
            <w:tcW w:w="960" w:type="dxa"/>
            <w:vAlign w:val="bottom"/>
            <w:gridSpan w:val="3"/>
          </w:tcPr>
          <w:p>
            <w:pPr>
              <w:jc w:val="right"/>
              <w:ind w:right="56"/>
              <w:spacing w:after="0" w:line="198" w:lineRule="exact"/>
              <w:rPr>
                <w:sz w:val="20"/>
                <w:szCs w:val="20"/>
                <w:color w:val="auto"/>
              </w:rPr>
            </w:pPr>
            <w:r>
              <w:rPr>
                <w:rFonts w:ascii="Times New Roman" w:cs="Times New Roman" w:eastAsia="Times New Roman" w:hAnsi="Times New Roman"/>
                <w:sz w:val="18"/>
                <w:szCs w:val="18"/>
                <w:color w:val="auto"/>
              </w:rPr>
              <w:t>87,276    $</w:t>
            </w:r>
          </w:p>
        </w:tc>
        <w:tc>
          <w:tcPr>
            <w:tcW w:w="660" w:type="dxa"/>
            <w:vAlign w:val="bottom"/>
          </w:tcPr>
          <w:p>
            <w:pPr>
              <w:spacing w:after="0"/>
              <w:rPr>
                <w:sz w:val="17"/>
                <w:szCs w:val="17"/>
                <w:color w:val="auto"/>
              </w:rPr>
            </w:pPr>
          </w:p>
        </w:tc>
        <w:tc>
          <w:tcPr>
            <w:tcW w:w="820" w:type="dxa"/>
            <w:vAlign w:val="bottom"/>
            <w:gridSpan w:val="3"/>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949    $</w:t>
            </w:r>
          </w:p>
        </w:tc>
        <w:tc>
          <w:tcPr>
            <w:tcW w:w="660" w:type="dxa"/>
            <w:vAlign w:val="bottom"/>
          </w:tcPr>
          <w:p>
            <w:pPr>
              <w:spacing w:after="0"/>
              <w:rPr>
                <w:sz w:val="17"/>
                <w:szCs w:val="17"/>
                <w:color w:val="auto"/>
              </w:rPr>
            </w:pPr>
          </w:p>
        </w:tc>
        <w:tc>
          <w:tcPr>
            <w:tcW w:w="4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858 </w:t>
            </w: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In connection with our adoption of FASB issued ASU No. 2017-07, Improving the Presentation of Net Periodic Pension Cost and Net Periodic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Postretirement Benefit Cost, the components of net periodic benefit cost other than the service cost component are included in the line item other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income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net periodic benefit cost for the years ended December 31:</w:t>
      </w:r>
    </w:p>
    <w:tbl>
      <w:tblPr>
        <w:tblLayout w:type="fixed"/>
        <w:tblInd w:w="0" w:type="dxa"/>
        <w:tblCellMar>
          <w:top w:w="0" w:type="dxa"/>
          <w:left w:w="0" w:type="dxa"/>
          <w:bottom w:w="0" w:type="dxa"/>
          <w:right w:w="0" w:type="dxa"/>
        </w:tblCellMar>
      </w:tblPr>
      <w:tr>
        <w:trPr>
          <w:trHeight w:val="207"/>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U.S. Pension Benefits</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0" w:type="dxa"/>
            <w:vAlign w:val="bottom"/>
            <w:gridSpan w:val="12"/>
          </w:tcPr>
          <w:p>
            <w:pPr>
              <w:jc w:val="center"/>
              <w:ind w:right="250"/>
              <w:spacing w:after="0"/>
              <w:rPr>
                <w:sz w:val="20"/>
                <w:szCs w:val="20"/>
                <w:color w:val="auto"/>
              </w:rPr>
            </w:pPr>
            <w:r>
              <w:rPr>
                <w:rFonts w:ascii="Times New Roman" w:cs="Times New Roman" w:eastAsia="Times New Roman" w:hAnsi="Times New Roman"/>
                <w:sz w:val="18"/>
                <w:szCs w:val="18"/>
                <w:color w:val="auto"/>
              </w:rPr>
              <w:t>Non U.S. Pension Benefits</w:t>
            </w: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2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2025</w:t>
            </w: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178"/>
        </w:trPr>
        <w:tc>
          <w:tcPr>
            <w:tcW w:w="242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Component of net period benefit</w:t>
            </w:r>
          </w:p>
        </w:tc>
        <w:tc>
          <w:tcPr>
            <w:tcW w:w="2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w:t>
            </w: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3"/>
                <w:szCs w:val="13"/>
                <w:color w:val="auto"/>
                <w:w w:val="75"/>
              </w:rPr>
              <w:t> </w:t>
            </w:r>
          </w:p>
        </w:tc>
        <w:tc>
          <w:tcPr>
            <w:tcW w:w="5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cost</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8"/>
                <w:szCs w:val="18"/>
                <w:color w:val="auto"/>
              </w:rPr>
            </w:pPr>
          </w:p>
        </w:tc>
        <w:tc>
          <w:tcPr>
            <w:tcW w:w="6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407   </w:t>
            </w:r>
          </w:p>
        </w:tc>
        <w:tc>
          <w:tcPr>
            <w:tcW w:w="240" w:type="dxa"/>
            <w:vAlign w:val="bottom"/>
          </w:tcPr>
          <w:p>
            <w:pPr>
              <w:jc w:val="right"/>
              <w:ind w:right="8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308   </w:t>
            </w:r>
          </w:p>
        </w:tc>
        <w:tc>
          <w:tcPr>
            <w:tcW w:w="88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cost</w:t>
            </w: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 </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   </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   </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   </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3"/>
                <w:szCs w:val="13"/>
                <w:color w:val="auto"/>
                <w:w w:val="75"/>
              </w:rPr>
              <w:t> </w:t>
            </w:r>
          </w:p>
        </w:tc>
        <w:tc>
          <w:tcPr>
            <w:tcW w:w="5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   </w:t>
            </w:r>
          </w:p>
        </w:tc>
        <w:tc>
          <w:tcPr>
            <w:tcW w:w="88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 </w:t>
            </w: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(5,086)    </w:t>
            </w:r>
          </w:p>
        </w:tc>
        <w:tc>
          <w:tcPr>
            <w:tcW w:w="520" w:type="dxa"/>
            <w:vAlign w:val="bottom"/>
          </w:tcPr>
          <w:p>
            <w:pPr>
              <w:spacing w:after="0"/>
              <w:rPr>
                <w:sz w:val="18"/>
                <w:szCs w:val="18"/>
                <w:color w:val="auto"/>
              </w:rPr>
            </w:pPr>
          </w:p>
        </w:tc>
        <w:tc>
          <w:tcPr>
            <w:tcW w:w="960" w:type="dxa"/>
            <w:vAlign w:val="bottom"/>
            <w:gridSpan w:val="7"/>
          </w:tcPr>
          <w:p>
            <w:pPr>
              <w:jc w:val="right"/>
              <w:ind w:right="70"/>
              <w:spacing w:after="0"/>
              <w:rPr>
                <w:sz w:val="20"/>
                <w:szCs w:val="20"/>
                <w:color w:val="auto"/>
              </w:rPr>
            </w:pPr>
            <w:r>
              <w:rPr>
                <w:rFonts w:ascii="Times New Roman" w:cs="Times New Roman" w:eastAsia="Times New Roman" w:hAnsi="Times New Roman"/>
                <w:sz w:val="18"/>
                <w:szCs w:val="18"/>
                <w:color w:val="auto"/>
              </w:rPr>
              <w:t>(4,774)    </w:t>
            </w:r>
          </w:p>
        </w:tc>
        <w:tc>
          <w:tcPr>
            <w:tcW w:w="520" w:type="dxa"/>
            <w:vAlign w:val="bottom"/>
          </w:tcPr>
          <w:p>
            <w:pPr>
              <w:spacing w:after="0"/>
              <w:rPr>
                <w:sz w:val="18"/>
                <w:szCs w:val="18"/>
                <w:color w:val="auto"/>
              </w:rPr>
            </w:pPr>
          </w:p>
        </w:tc>
        <w:tc>
          <w:tcPr>
            <w:tcW w:w="960" w:type="dxa"/>
            <w:vAlign w:val="bottom"/>
            <w:gridSpan w:val="6"/>
          </w:tcPr>
          <w:p>
            <w:pPr>
              <w:jc w:val="right"/>
              <w:ind w:right="126"/>
              <w:spacing w:after="0"/>
              <w:rPr>
                <w:sz w:val="20"/>
                <w:szCs w:val="20"/>
                <w:color w:val="auto"/>
              </w:rPr>
            </w:pPr>
            <w:r>
              <w:rPr>
                <w:rFonts w:ascii="Times New Roman" w:cs="Times New Roman" w:eastAsia="Times New Roman" w:hAnsi="Times New Roman"/>
                <w:sz w:val="18"/>
                <w:szCs w:val="18"/>
                <w:color w:val="auto"/>
              </w:rPr>
              <w:t>(24)    </w:t>
            </w:r>
          </w:p>
        </w:tc>
        <w:tc>
          <w:tcPr>
            <w:tcW w:w="560" w:type="dxa"/>
            <w:vAlign w:val="bottom"/>
          </w:tcPr>
          <w:p>
            <w:pPr>
              <w:spacing w:after="0"/>
              <w:rPr>
                <w:sz w:val="18"/>
                <w:szCs w:val="18"/>
                <w:color w:val="auto"/>
              </w:rPr>
            </w:pPr>
          </w:p>
        </w:tc>
        <w:tc>
          <w:tcPr>
            <w:tcW w:w="1480" w:type="dxa"/>
            <w:vAlign w:val="bottom"/>
            <w:gridSpan w:val="5"/>
          </w:tcPr>
          <w:p>
            <w:pPr>
              <w:jc w:val="right"/>
              <w:ind w:right="710"/>
              <w:spacing w:after="0"/>
              <w:rPr>
                <w:sz w:val="20"/>
                <w:szCs w:val="20"/>
                <w:color w:val="auto"/>
              </w:rPr>
            </w:pPr>
            <w:r>
              <w:rPr>
                <w:rFonts w:ascii="Times New Roman" w:cs="Times New Roman" w:eastAsia="Times New Roman" w:hAnsi="Times New Roman"/>
                <w:sz w:val="18"/>
                <w:szCs w:val="18"/>
                <w:color w:val="auto"/>
              </w:rPr>
              <w:t>(31)    </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Amortization of prior service</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w:t>
            </w: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20"/>
                <w:szCs w:val="20"/>
                <w:color w:val="auto"/>
              </w:rPr>
            </w:pPr>
          </w:p>
        </w:tc>
        <w:tc>
          <w:tcPr>
            <w:tcW w:w="6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3"/>
                <w:szCs w:val="13"/>
                <w:color w:val="auto"/>
                <w:w w:val="75"/>
              </w:rPr>
              <w:t> </w:t>
            </w:r>
          </w:p>
        </w:tc>
        <w:tc>
          <w:tcPr>
            <w:tcW w:w="5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8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actuarial loss</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80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185     </w:t>
            </w:r>
          </w:p>
        </w:tc>
        <w:tc>
          <w:tcPr>
            <w:tcW w:w="520" w:type="dxa"/>
            <w:vAlign w:val="bottom"/>
          </w:tcPr>
          <w:p>
            <w:pPr>
              <w:spacing w:after="0"/>
              <w:rPr>
                <w:sz w:val="19"/>
                <w:szCs w:val="19"/>
                <w:color w:val="auto"/>
              </w:rPr>
            </w:pP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9"/>
                <w:szCs w:val="19"/>
                <w:color w:val="auto"/>
              </w:rPr>
            </w:pPr>
          </w:p>
        </w:tc>
        <w:tc>
          <w:tcPr>
            <w:tcW w:w="960" w:type="dxa"/>
            <w:vAlign w:val="bottom"/>
            <w:gridSpan w:val="6"/>
          </w:tcPr>
          <w:p>
            <w:pPr>
              <w:jc w:val="right"/>
              <w:ind w:right="126"/>
              <w:spacing w:after="0"/>
              <w:rPr>
                <w:sz w:val="20"/>
                <w:szCs w:val="20"/>
                <w:color w:val="auto"/>
              </w:rPr>
            </w:pPr>
            <w:r>
              <w:rPr>
                <w:rFonts w:ascii="Times New Roman" w:cs="Times New Roman" w:eastAsia="Times New Roman" w:hAnsi="Times New Roman"/>
                <w:sz w:val="18"/>
                <w:szCs w:val="18"/>
                <w:color w:val="auto"/>
              </w:rPr>
              <w:t>(87)    </w:t>
            </w:r>
          </w:p>
        </w:tc>
        <w:tc>
          <w:tcPr>
            <w:tcW w:w="560" w:type="dxa"/>
            <w:vAlign w:val="bottom"/>
          </w:tcPr>
          <w:p>
            <w:pPr>
              <w:spacing w:after="0"/>
              <w:rPr>
                <w:sz w:val="19"/>
                <w:szCs w:val="19"/>
                <w:color w:val="auto"/>
              </w:rPr>
            </w:pPr>
          </w:p>
        </w:tc>
        <w:tc>
          <w:tcPr>
            <w:tcW w:w="1480" w:type="dxa"/>
            <w:vAlign w:val="bottom"/>
            <w:gridSpan w:val="5"/>
          </w:tcPr>
          <w:p>
            <w:pPr>
              <w:jc w:val="right"/>
              <w:ind w:right="710"/>
              <w:spacing w:after="0"/>
              <w:rPr>
                <w:sz w:val="20"/>
                <w:szCs w:val="20"/>
                <w:color w:val="auto"/>
              </w:rPr>
            </w:pPr>
            <w:r>
              <w:rPr>
                <w:rFonts w:ascii="Times New Roman" w:cs="Times New Roman" w:eastAsia="Times New Roman" w:hAnsi="Times New Roman"/>
                <w:sz w:val="18"/>
                <w:szCs w:val="18"/>
                <w:color w:val="auto"/>
              </w:rPr>
              <w:t>(52)    </w:t>
            </w:r>
          </w:p>
        </w:tc>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23"/>
        </w:trPr>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2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4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70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Weighted average assumptions used to determine the benefit obligation and net periodic benefit cost as of December 31:</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gridSpan w:val="3"/>
            <w:vMerge w:val="restart"/>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220" w:type="dxa"/>
            <w:vAlign w:val="bottom"/>
            <w:gridSpan w:val="2"/>
            <w:vMerge w:val="restart"/>
          </w:tcPr>
          <w:p>
            <w:pPr>
              <w:jc w:val="right"/>
              <w:ind w:right="73"/>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gridSpan w:val="3"/>
            <w:vMerge w:val="continue"/>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9"/>
          </w:tcPr>
          <w:p>
            <w:pPr>
              <w:jc w:val="right"/>
              <w:ind w:right="110"/>
              <w:spacing w:after="0"/>
              <w:rPr>
                <w:sz w:val="20"/>
                <w:szCs w:val="20"/>
                <w:color w:val="auto"/>
              </w:rPr>
            </w:pPr>
            <w:r>
              <w:rPr>
                <w:rFonts w:ascii="Times New Roman" w:cs="Times New Roman" w:eastAsia="Times New Roman" w:hAnsi="Times New Roman"/>
                <w:sz w:val="18"/>
                <w:szCs w:val="18"/>
                <w:color w:val="auto"/>
              </w:rPr>
              <w:t>U.S. Pension Benefits</w:t>
            </w:r>
          </w:p>
        </w:tc>
        <w:tc>
          <w:tcPr>
            <w:tcW w:w="36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Non U.S. Pension Benefits</w:t>
            </w:r>
          </w:p>
        </w:tc>
        <w:tc>
          <w:tcPr>
            <w:tcW w:w="340" w:type="dxa"/>
            <w:vAlign w:val="bottom"/>
          </w:tcPr>
          <w:p>
            <w:pPr>
              <w:spacing w:after="0"/>
              <w:rPr>
                <w:sz w:val="20"/>
                <w:szCs w:val="20"/>
                <w:color w:val="auto"/>
              </w:rPr>
            </w:pPr>
          </w:p>
        </w:tc>
        <w:tc>
          <w:tcPr>
            <w:tcW w:w="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200" w:type="dxa"/>
            <w:vAlign w:val="bottom"/>
            <w:tcBorders>
              <w:top w:val="single" w:sz="8" w:color="auto"/>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top w:val="single" w:sz="8" w:color="auto"/>
              <w:bottom w:val="single" w:sz="8" w:color="auto"/>
            </w:tcBorders>
          </w:tcPr>
          <w:p>
            <w:pPr>
              <w:spacing w:after="0"/>
              <w:rPr>
                <w:sz w:val="19"/>
                <w:szCs w:val="19"/>
                <w:color w:val="auto"/>
              </w:rPr>
            </w:pPr>
          </w:p>
        </w:tc>
        <w:tc>
          <w:tcPr>
            <w:tcW w:w="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CCEEFF"/>
            </w:tcBorders>
            <w:gridSpan w:val="2"/>
          </w:tcPr>
          <w:p>
            <w:pPr>
              <w:jc w:val="right"/>
              <w:ind w:right="53"/>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 </w:t>
            </w:r>
          </w:p>
        </w:tc>
        <w:tc>
          <w:tcPr>
            <w:tcW w:w="88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3"/>
                <w:szCs w:val="13"/>
                <w:color w:val="auto"/>
                <w:w w:val="75"/>
              </w:rPr>
              <w:t> </w:t>
            </w:r>
          </w:p>
        </w:tc>
        <w:tc>
          <w:tcPr>
            <w:tcW w:w="5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3.49%</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gridSpan w:val="5"/>
          </w:tcPr>
          <w:p>
            <w:pPr>
              <w:jc w:val="right"/>
              <w:ind w:right="750"/>
              <w:spacing w:after="0"/>
              <w:rPr>
                <w:sz w:val="20"/>
                <w:szCs w:val="20"/>
                <w:color w:val="auto"/>
              </w:rPr>
            </w:pPr>
            <w:r>
              <w:rPr>
                <w:rFonts w:ascii="Times New Roman" w:cs="Times New Roman" w:eastAsia="Times New Roman" w:hAnsi="Times New Roman"/>
                <w:sz w:val="18"/>
                <w:szCs w:val="18"/>
                <w:color w:val="auto"/>
              </w:rPr>
              <w:t>2.60%   </w:t>
            </w:r>
          </w:p>
        </w:tc>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2.60%</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 </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 </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80" w:type="dxa"/>
            <w:vAlign w:val="bottom"/>
            <w:gridSpan w:val="5"/>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3.39%   </w:t>
            </w:r>
          </w:p>
        </w:tc>
        <w:tc>
          <w:tcPr>
            <w:tcW w:w="5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3.28%</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evaluates its discount rate assumption annually as of December 31 for each of its retirement-related benefit plans. The Company is using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Mercer bond model for determining its U.S. pension benefits.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expected return on plan assets is evaluated annually based upon a study which includes a review of anticipated future long-term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of individual asset classes, and consideration of the appropriate asset allocation strategy to provide for the timing and amount of benefits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the projected benefit obligation. While the study gives appropriate consideration to recent fund performance and historical returns,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assumption is primarily a long-term prospective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overall investment strategy is a glide path to manage the plan to a fully funded status through a mix of approximately 75% of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long-term growth and 25% for near-term benefit payments with a wide diversification of asset types, fund strategies, and fund managers. The target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allocations for plan assets are 45% equity securities, 5% in alternatives and 48% to fixed income investments. Equity securities primarily include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in large-cap, mid-cap and small-cap companies primarily located in the United States and international developed markets. Fixed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include corporate bonds of companies from diversified industries, mortgage-backed securities, and U.S. Treasuries. Other types of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investments in hedge funds that follow several different strategies.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We categorize our plan assets into three levels based upon the assumptions (inputs) used to price the assets. Level 1 provides the most reliable measure of fair value, whereas Level 3 generally requires significant management judgment. The three levels are defined as follows:  </w:t>
      </w:r>
    </w:p>
    <w:p>
      <w:pPr>
        <w:spacing w:after="0" w:line="10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Level 1: Unadjusted quoted prices in active markets for identical assets.</w:t>
      </w:r>
    </w:p>
    <w:p>
      <w:pPr>
        <w:spacing w:after="0" w:line="1" w:lineRule="exact"/>
        <w:rPr>
          <w:rFonts w:ascii="Times New Roman" w:cs="Times New Roman" w:eastAsia="Times New Roman" w:hAnsi="Times New Roman"/>
          <w:sz w:val="27"/>
          <w:szCs w:val="27"/>
          <w:color w:val="auto"/>
          <w:vertAlign w:val="superscript"/>
        </w:rPr>
      </w:pPr>
    </w:p>
    <w:p>
      <w:pPr>
        <w:ind w:left="660" w:hanging="328"/>
        <w:spacing w:after="0" w:line="249"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those included in Level 1. For example, quoted prices for similar assets in active markets or quoted prices for identical assets in inactive markets.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reflecting assumptions about the inputs used in pricing the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maintain any level 3 assets during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management uses the following methods and significant assumptions to estimate fair value of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 overnight bank deposits and money market mutual funds maintaining at all times $1.00 Net Asset Value (“NAV”).</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and agency obligations – U.S. Treasury bonds, notes and other government obligations. U.S. securities are Level 1 assets and corporate notes are Level 2 assets.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traded funds – marketable securities tracking asset baskets traded on active markets.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 - Valued at the net asset value (“NAV”) of shares or units held by the Plan at year-end which is obtained from an active market or at share or unit prices provided by the fund manager with significant observable inputs.</w:t>
      </w:r>
    </w:p>
    <w:p>
      <w:pPr>
        <w:ind w:left="660" w:right="2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 funds - Value provided by the administrator of the fund. The pricing for these funds is provided monthly by the fund to determine the quoted price.</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stocks - marketable corporate equity securities traded on active markets.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Company’s pension plan asset allocation at December 31, 2025 and 2024, by asset category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spacing w:after="0"/>
              <w:rPr>
                <w:sz w:val="18"/>
                <w:szCs w:val="18"/>
                <w:color w:val="auto"/>
              </w:rPr>
            </w:pPr>
          </w:p>
        </w:tc>
        <w:tc>
          <w:tcPr>
            <w:tcW w:w="2020" w:type="dxa"/>
            <w:vAlign w:val="bottom"/>
            <w:gridSpan w:val="8"/>
          </w:tcPr>
          <w:p>
            <w:pPr>
              <w:jc w:val="center"/>
              <w:spacing w:after="0"/>
              <w:rPr>
                <w:sz w:val="20"/>
                <w:szCs w:val="20"/>
                <w:color w:val="auto"/>
              </w:rPr>
            </w:pPr>
            <w:r>
              <w:rPr>
                <w:rFonts w:ascii="Times New Roman" w:cs="Times New Roman" w:eastAsia="Times New Roman" w:hAnsi="Times New Roman"/>
                <w:sz w:val="18"/>
                <w:szCs w:val="18"/>
                <w:color w:val="auto"/>
                <w:w w:val="98"/>
              </w:rPr>
              <w:t>Fair Value Measurement at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48"/>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5"/>
          </w:tcPr>
          <w:p>
            <w:pPr>
              <w:jc w:val="center"/>
              <w:ind w:left="30"/>
              <w:spacing w:after="0"/>
              <w:rPr>
                <w:sz w:val="20"/>
                <w:szCs w:val="20"/>
                <w:color w:val="auto"/>
              </w:rPr>
            </w:pPr>
            <w:r>
              <w:rPr>
                <w:rFonts w:ascii="Times New Roman" w:cs="Times New Roman" w:eastAsia="Times New Roman" w:hAnsi="Times New Roman"/>
                <w:sz w:val="18"/>
                <w:szCs w:val="18"/>
                <w:color w:val="auto"/>
                <w:w w:val="98"/>
              </w:rPr>
              <w:t>December 31, 2025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191"/>
        </w:trPr>
        <w:tc>
          <w:tcPr>
            <w:tcW w:w="1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Quoted</w:t>
            </w:r>
          </w:p>
        </w:tc>
        <w:tc>
          <w:tcPr>
            <w:tcW w:w="1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Prices in</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Active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Markets for</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Significant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Significant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Identical</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Observable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rPr>
              <w:t>Unobservable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Assets</w:t>
            </w:r>
          </w:p>
        </w:tc>
        <w:tc>
          <w:tcPr>
            <w:tcW w:w="180" w:type="dxa"/>
            <w:vAlign w:val="bottom"/>
          </w:tcPr>
          <w:p>
            <w:pPr>
              <w:spacing w:after="0"/>
              <w:rPr>
                <w:sz w:val="21"/>
                <w:szCs w:val="21"/>
                <w:color w:val="auto"/>
              </w:rPr>
            </w:pPr>
          </w:p>
        </w:tc>
        <w:tc>
          <w:tcPr>
            <w:tcW w:w="36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Inputs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Inputs</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09"/>
        </w:trPr>
        <w:tc>
          <w:tcPr>
            <w:tcW w:w="1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4"/>
              </w:rPr>
              <w:t>Total</w:t>
            </w: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18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(Level 3)</w:t>
            </w: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10"/>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2,900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3"/>
              </w:rPr>
              <w:t>22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16"/>
        </w:trPr>
        <w:tc>
          <w:tcPr>
            <w:tcW w:w="3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US Government and agency obligations</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60,962 </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4"/>
          </w:tcPr>
          <w:p>
            <w:pPr>
              <w:jc w:val="right"/>
              <w:ind w:right="16"/>
              <w:spacing w:after="0"/>
              <w:rPr>
                <w:sz w:val="20"/>
                <w:szCs w:val="20"/>
                <w:color w:val="auto"/>
              </w:rPr>
            </w:pPr>
            <w:r>
              <w:rPr>
                <w:rFonts w:ascii="Times New Roman" w:cs="Times New Roman" w:eastAsia="Times New Roman" w:hAnsi="Times New Roman"/>
                <w:sz w:val="18"/>
                <w:szCs w:val="18"/>
                <w:color w:val="auto"/>
              </w:rPr>
              <w:t>5,865     </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55,097 </w:t>
            </w:r>
          </w:p>
        </w:tc>
        <w:tc>
          <w:tcPr>
            <w:tcW w:w="3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traded funds</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spacing w:after="0"/>
              <w:rPr>
                <w:sz w:val="18"/>
                <w:szCs w:val="18"/>
                <w:color w:val="auto"/>
              </w:rPr>
            </w:pPr>
          </w:p>
        </w:tc>
        <w:tc>
          <w:tcPr>
            <w:tcW w:w="54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76     </w:t>
            </w:r>
          </w:p>
        </w:tc>
        <w:tc>
          <w:tcPr>
            <w:tcW w:w="9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stocks</w:t>
            </w:r>
          </w:p>
        </w:tc>
        <w:tc>
          <w:tcPr>
            <w:tcW w:w="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27,546 </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4"/>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27,546     </w:t>
            </w:r>
          </w:p>
        </w:tc>
        <w:tc>
          <w:tcPr>
            <w:tcW w:w="9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8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Total Assets in the fair value hierarchy </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91,484</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36,365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55,119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w w:val="75"/>
              </w:rPr>
              <w:t> </w:t>
            </w:r>
          </w:p>
        </w:tc>
        <w:tc>
          <w:tcPr>
            <w:tcW w:w="9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0"/>
        </w:trPr>
        <w:tc>
          <w:tcPr>
            <w:tcW w:w="1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4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spacing w:after="0"/>
              <w:rPr>
                <w:sz w:val="18"/>
                <w:szCs w:val="18"/>
                <w:color w:val="auto"/>
              </w:rPr>
            </w:pPr>
          </w:p>
        </w:tc>
        <w:tc>
          <w:tcPr>
            <w:tcW w:w="2020" w:type="dxa"/>
            <w:vAlign w:val="bottom"/>
            <w:gridSpan w:val="8"/>
          </w:tcPr>
          <w:p>
            <w:pPr>
              <w:jc w:val="center"/>
              <w:spacing w:after="0"/>
              <w:rPr>
                <w:sz w:val="20"/>
                <w:szCs w:val="20"/>
                <w:color w:val="auto"/>
              </w:rPr>
            </w:pPr>
            <w:r>
              <w:rPr>
                <w:rFonts w:ascii="Times New Roman" w:cs="Times New Roman" w:eastAsia="Times New Roman" w:hAnsi="Times New Roman"/>
                <w:sz w:val="18"/>
                <w:szCs w:val="18"/>
                <w:color w:val="auto"/>
                <w:w w:val="98"/>
              </w:rPr>
              <w:t>Fair Value Measurement at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48"/>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5"/>
          </w:tcPr>
          <w:p>
            <w:pPr>
              <w:jc w:val="center"/>
              <w:ind w:left="30"/>
              <w:spacing w:after="0"/>
              <w:rPr>
                <w:sz w:val="20"/>
                <w:szCs w:val="20"/>
                <w:color w:val="auto"/>
              </w:rPr>
            </w:pPr>
            <w:r>
              <w:rPr>
                <w:rFonts w:ascii="Times New Roman" w:cs="Times New Roman" w:eastAsia="Times New Roman" w:hAnsi="Times New Roman"/>
                <w:sz w:val="18"/>
                <w:szCs w:val="18"/>
                <w:color w:val="auto"/>
                <w:w w:val="98"/>
              </w:rPr>
              <w:t>December 31, 2024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191"/>
        </w:trPr>
        <w:tc>
          <w:tcPr>
            <w:tcW w:w="1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Quoted</w:t>
            </w:r>
          </w:p>
        </w:tc>
        <w:tc>
          <w:tcPr>
            <w:tcW w:w="1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Prices in</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Active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Markets for</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Significant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Significant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Identical</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Observable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rPr>
              <w:t>Unobservable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Assets</w:t>
            </w:r>
          </w:p>
        </w:tc>
        <w:tc>
          <w:tcPr>
            <w:tcW w:w="180" w:type="dxa"/>
            <w:vAlign w:val="bottom"/>
          </w:tcPr>
          <w:p>
            <w:pPr>
              <w:spacing w:after="0"/>
              <w:rPr>
                <w:sz w:val="21"/>
                <w:szCs w:val="21"/>
                <w:color w:val="auto"/>
              </w:rPr>
            </w:pPr>
          </w:p>
        </w:tc>
        <w:tc>
          <w:tcPr>
            <w:tcW w:w="36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Inputs</w:t>
            </w:r>
          </w:p>
        </w:tc>
        <w:tc>
          <w:tcPr>
            <w:tcW w:w="580" w:type="dxa"/>
            <w:vAlign w:val="bottom"/>
            <w:gridSpan w:val="4"/>
          </w:tcPr>
          <w:p>
            <w:pPr>
              <w:jc w:val="right"/>
              <w:ind w:right="158"/>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Inputs</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10"/>
        </w:trPr>
        <w:tc>
          <w:tcPr>
            <w:tcW w:w="1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4"/>
              </w:rPr>
              <w:t>Total</w:t>
            </w: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18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8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(Level 3)</w:t>
            </w: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10"/>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2,490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16"/>
        </w:trPr>
        <w:tc>
          <w:tcPr>
            <w:tcW w:w="3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US Government and agency obligations</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56,675 </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4"/>
          </w:tcPr>
          <w:p>
            <w:pPr>
              <w:jc w:val="right"/>
              <w:ind w:right="16"/>
              <w:spacing w:after="0"/>
              <w:rPr>
                <w:sz w:val="20"/>
                <w:szCs w:val="20"/>
                <w:color w:val="auto"/>
              </w:rPr>
            </w:pPr>
            <w:r>
              <w:rPr>
                <w:rFonts w:ascii="Times New Roman" w:cs="Times New Roman" w:eastAsia="Times New Roman" w:hAnsi="Times New Roman"/>
                <w:sz w:val="18"/>
                <w:szCs w:val="18"/>
                <w:color w:val="auto"/>
              </w:rPr>
              <w:t>1,161     </w:t>
            </w:r>
          </w:p>
        </w:tc>
        <w:tc>
          <w:tcPr>
            <w:tcW w:w="1480" w:type="dxa"/>
            <w:vAlign w:val="bottom"/>
            <w:gridSpan w:val="5"/>
          </w:tcPr>
          <w:p>
            <w:pPr>
              <w:jc w:val="right"/>
              <w:ind w:right="58"/>
              <w:spacing w:after="0"/>
              <w:rPr>
                <w:sz w:val="20"/>
                <w:szCs w:val="20"/>
                <w:color w:val="auto"/>
              </w:rPr>
            </w:pPr>
            <w:r>
              <w:rPr>
                <w:rFonts w:ascii="Times New Roman" w:cs="Times New Roman" w:eastAsia="Times New Roman" w:hAnsi="Times New Roman"/>
                <w:sz w:val="18"/>
                <w:szCs w:val="18"/>
                <w:color w:val="auto"/>
              </w:rPr>
              <w:t>55,514     </w:t>
            </w:r>
          </w:p>
        </w:tc>
        <w:tc>
          <w:tcPr>
            <w:tcW w:w="9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traded funds</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spacing w:after="0"/>
              <w:rPr>
                <w:sz w:val="18"/>
                <w:szCs w:val="18"/>
                <w:color w:val="auto"/>
              </w:rPr>
            </w:pPr>
          </w:p>
        </w:tc>
        <w:tc>
          <w:tcPr>
            <w:tcW w:w="54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69     </w:t>
            </w:r>
          </w:p>
        </w:tc>
        <w:tc>
          <w:tcPr>
            <w:tcW w:w="900" w:type="dxa"/>
            <w:vAlign w:val="bottom"/>
          </w:tcPr>
          <w:p>
            <w:pPr>
              <w:spacing w:after="0"/>
              <w:rPr>
                <w:sz w:val="18"/>
                <w:szCs w:val="18"/>
                <w:color w:val="auto"/>
              </w:rPr>
            </w:pPr>
          </w:p>
        </w:tc>
        <w:tc>
          <w:tcPr>
            <w:tcW w:w="580" w:type="dxa"/>
            <w:vAlign w:val="bottom"/>
            <w:gridSpan w:val="4"/>
          </w:tcPr>
          <w:p>
            <w:pPr>
              <w:jc w:val="right"/>
              <w:ind w:right="58"/>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stocks</w:t>
            </w:r>
          </w:p>
        </w:tc>
        <w:tc>
          <w:tcPr>
            <w:tcW w:w="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28,900 </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4"/>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28,900     </w:t>
            </w:r>
          </w:p>
        </w:tc>
        <w:tc>
          <w:tcPr>
            <w:tcW w:w="900" w:type="dxa"/>
            <w:vAlign w:val="bottom"/>
            <w:shd w:val="clear" w:color="auto" w:fill="CCEEFF"/>
          </w:tcPr>
          <w:p>
            <w:pPr>
              <w:spacing w:after="0"/>
              <w:rPr>
                <w:sz w:val="19"/>
                <w:szCs w:val="19"/>
                <w:color w:val="auto"/>
              </w:rPr>
            </w:pPr>
          </w:p>
        </w:tc>
        <w:tc>
          <w:tcPr>
            <w:tcW w:w="580" w:type="dxa"/>
            <w:vAlign w:val="bottom"/>
            <w:gridSpan w:val="4"/>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8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Total Assets in the fair value hierarchy </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88,134</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32,620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55,514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w w:val="75"/>
              </w:rPr>
              <w:t> </w:t>
            </w:r>
          </w:p>
        </w:tc>
        <w:tc>
          <w:tcPr>
            <w:tcW w:w="9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0"/>
        </w:trPr>
        <w:tc>
          <w:tcPr>
            <w:tcW w:w="1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4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0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the estimated benefit payments for the postretirement plans for the next five fiscal years and thereafter.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gridSpan w:val="4"/>
            <w:vMerge w:val="restart"/>
          </w:tcPr>
          <w:p>
            <w:pPr>
              <w:jc w:val="right"/>
              <w:ind w:right="30"/>
              <w:spacing w:after="0"/>
              <w:rPr>
                <w:sz w:val="20"/>
                <w:szCs w:val="20"/>
                <w:color w:val="auto"/>
              </w:rPr>
            </w:pPr>
            <w:r>
              <w:rPr>
                <w:rFonts w:ascii="Times New Roman" w:cs="Times New Roman" w:eastAsia="Times New Roman" w:hAnsi="Times New Roman"/>
                <w:sz w:val="13"/>
                <w:szCs w:val="13"/>
                <w:color w:val="auto"/>
                <w:w w:val="75"/>
              </w:rPr>
              <w:t>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vMerge w:val="continue"/>
          </w:tcPr>
          <w:p>
            <w:pPr>
              <w:spacing w:after="0"/>
              <w:rPr>
                <w:sz w:val="20"/>
                <w:szCs w:val="20"/>
                <w:color w:val="auto"/>
              </w:rPr>
            </w:pPr>
          </w:p>
        </w:tc>
        <w:tc>
          <w:tcPr>
            <w:tcW w:w="660" w:type="dxa"/>
            <w:vAlign w:val="bottom"/>
          </w:tcPr>
          <w:p>
            <w:pPr>
              <w:spacing w:after="0"/>
              <w:rPr>
                <w:sz w:val="20"/>
                <w:szCs w:val="20"/>
                <w:color w:val="auto"/>
              </w:rPr>
            </w:pPr>
          </w:p>
        </w:tc>
        <w:tc>
          <w:tcPr>
            <w:tcW w:w="27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Total Estimated Benefit Payments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gridSpan w:val="4"/>
            <w:vMerge w:val="continue"/>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U.S.</w:t>
            </w:r>
          </w:p>
        </w:tc>
        <w:tc>
          <w:tcPr>
            <w:tcW w:w="5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Non U.S</w:t>
            </w:r>
          </w:p>
        </w:tc>
        <w:tc>
          <w:tcPr>
            <w:tcW w:w="920" w:type="dxa"/>
            <w:vAlign w:val="bottom"/>
            <w:tcBorders>
              <w:top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tcBorders>
          </w:tcPr>
          <w:p>
            <w:pPr>
              <w:spacing w:after="0"/>
              <w:rPr>
                <w:sz w:val="19"/>
                <w:szCs w:val="19"/>
                <w:color w:val="auto"/>
              </w:rPr>
            </w:pPr>
          </w:p>
        </w:tc>
        <w:tc>
          <w:tcPr>
            <w:tcW w:w="160" w:type="dxa"/>
            <w:vAlign w:val="bottom"/>
            <w:gridSpan w:val="4"/>
          </w:tcPr>
          <w:p>
            <w:pPr>
              <w:jc w:val="right"/>
              <w:ind w:right="30"/>
              <w:spacing w:after="0"/>
              <w:rPr>
                <w:sz w:val="20"/>
                <w:szCs w:val="20"/>
                <w:color w:val="auto"/>
              </w:rPr>
            </w:pPr>
            <w:r>
              <w:rPr>
                <w:rFonts w:ascii="Times New Roman" w:cs="Times New Roman" w:eastAsia="Times New Roman" w:hAnsi="Times New Roman"/>
                <w:sz w:val="13"/>
                <w:szCs w:val="13"/>
                <w:color w:val="auto"/>
                <w:w w:val="75"/>
              </w:rPr>
              <w:t>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  </w:t>
            </w:r>
          </w:p>
        </w:tc>
        <w:tc>
          <w:tcPr>
            <w:tcW w:w="1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  </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8,991 </w:t>
            </w:r>
          </w:p>
        </w:tc>
        <w:tc>
          <w:tcPr>
            <w:tcW w:w="20" w:type="dxa"/>
            <w:vAlign w:val="bottom"/>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94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8,150   </w:t>
            </w:r>
          </w:p>
        </w:tc>
        <w:tc>
          <w:tcPr>
            <w:tcW w:w="860" w:type="dxa"/>
            <w:vAlign w:val="bottom"/>
          </w:tcPr>
          <w:p>
            <w:pPr>
              <w:spacing w:after="0"/>
              <w:rPr>
                <w:sz w:val="18"/>
                <w:szCs w:val="18"/>
                <w:color w:val="auto"/>
              </w:rPr>
            </w:pPr>
          </w:p>
        </w:tc>
        <w:tc>
          <w:tcPr>
            <w:tcW w:w="92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881   </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9,031 </w:t>
            </w:r>
          </w:p>
        </w:tc>
        <w:tc>
          <w:tcPr>
            <w:tcW w:w="1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8,050   </w:t>
            </w:r>
          </w:p>
        </w:tc>
        <w:tc>
          <w:tcPr>
            <w:tcW w:w="8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931   </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8,981 </w:t>
            </w:r>
          </w:p>
        </w:tc>
        <w:tc>
          <w:tcPr>
            <w:tcW w:w="1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94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7,878   </w:t>
            </w:r>
          </w:p>
        </w:tc>
        <w:tc>
          <w:tcPr>
            <w:tcW w:w="860" w:type="dxa"/>
            <w:vAlign w:val="bottom"/>
          </w:tcPr>
          <w:p>
            <w:pPr>
              <w:spacing w:after="0"/>
              <w:rPr>
                <w:sz w:val="18"/>
                <w:szCs w:val="18"/>
                <w:color w:val="auto"/>
              </w:rPr>
            </w:pPr>
          </w:p>
        </w:tc>
        <w:tc>
          <w:tcPr>
            <w:tcW w:w="92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1,248   </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9,126 </w:t>
            </w:r>
          </w:p>
        </w:tc>
        <w:tc>
          <w:tcPr>
            <w:tcW w:w="1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7,709   </w:t>
            </w:r>
          </w:p>
        </w:tc>
        <w:tc>
          <w:tcPr>
            <w:tcW w:w="8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1,261   </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8,970 </w:t>
            </w:r>
          </w:p>
        </w:tc>
        <w:tc>
          <w:tcPr>
            <w:tcW w:w="1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9"/>
                <w:szCs w:val="19"/>
                <w:color w:val="auto"/>
              </w:rPr>
            </w:pPr>
          </w:p>
        </w:tc>
        <w:tc>
          <w:tcPr>
            <w:tcW w:w="94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35,343   </w:t>
            </w:r>
          </w:p>
        </w:tc>
        <w:tc>
          <w:tcPr>
            <w:tcW w:w="860" w:type="dxa"/>
            <w:vAlign w:val="bottom"/>
          </w:tcPr>
          <w:p>
            <w:pPr>
              <w:spacing w:after="0"/>
              <w:rPr>
                <w:sz w:val="19"/>
                <w:szCs w:val="19"/>
                <w:color w:val="auto"/>
              </w:rPr>
            </w:pPr>
          </w:p>
        </w:tc>
        <w:tc>
          <w:tcPr>
            <w:tcW w:w="92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7,187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42,530 </w:t>
            </w:r>
          </w:p>
        </w:tc>
        <w:tc>
          <w:tcPr>
            <w:tcW w:w="12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87,629</w:t>
            </w:r>
          </w:p>
        </w:tc>
        <w:tc>
          <w:tcPr>
            <w:tcW w:w="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w w:val="4294967272"/>
              </w:rPr>
              <w:t>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expected contribution for the 2026 fiscal year is $1,108 for the U.S. pension plan. There is no funding requirement for non-U.S. pension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Savings Plans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has defined contribution savings and similar plans for eligible employees, which vary by subsidiary. The Company’s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contributions to these plans are based on eligible employee contributions and certain other factors. The Company expenses for these plans were $1,200,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$1,188 and $1,218 in 2025, 2024 and 2023,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Plans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maintains various pension and statutory separation pay plans for its European employees. The expense (income), not including the French and German pension plan, in 2025, 2024, and 2023 was $(176), $(221) and $1,767, respectively. As of their most recent valuation dates, for those plans where vested benefits exceeded plan assets, the actuarially computed value of vested benefits exceeded those plans’ assets by approximately $5,793.  </w:t>
      </w:r>
    </w:p>
    <w:p>
      <w:pPr>
        <w:spacing w:after="0" w:line="204" w:lineRule="exact"/>
        <w:rPr>
          <w:sz w:val="20"/>
          <w:szCs w:val="20"/>
          <w:color w:val="auto"/>
        </w:rPr>
      </w:pPr>
    </w:p>
    <w:p>
      <w:pPr>
        <w:ind w:left="280" w:hanging="272"/>
        <w:spacing w:after="0"/>
        <w:tabs>
          <w:tab w:leader="none" w:pos="2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Stock, Treasury Stock and Paid in Capital</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Authorized shares of preferred stock ($0.01 par value per share) and common stock ($0.01 par value per share) for the Company are 50,000,000 shares and 150,000,000 shares, respectively. No preferred stock has been issued.</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2004, the Company purchased 805,270 shares of its common stock from the underwriter for a purchase price of $298. The common stock has been accounted for as treasury stock.</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jc w:val="both"/>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completed private placements (the “Private Placements”) through the issuance of 7,142,858 shares at purchase price of $2.10, 7,042,254 shares at purchase price of $0.71, 17,241,380 shares at purchase price of $0.58, on March 21, 2025, September 30, 2025, and December 30, 2025 respectively, of common stock to an affiliate of Icahn Enterprises L.P. (“IELP”). Prior to the completion of these Private Placements, IELP beneficially owned approximately 90.6% of the Company’s outstanding common stock. As a result of these Private Placements, IELP is the beneficial owner of approximately 92.82% of the Company’s outstanding common stock. The Private Placement was approved by a Special Committee of disinterested directors of the Company. The Company received $30,000 in proceeds from the Private Placement, of which $306 was recorded within common stock and $29,730 was recorded within paid in capital as of December 31, 2025.</w:t>
      </w:r>
    </w:p>
    <w:p>
      <w:pPr>
        <w:spacing w:after="0" w:line="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had 135,422,427 and 103,995,935 shares issued and 134,617,157 and 103,190,665 shares outstanding as of December 31, 2025 and December 31, 2024, respectively.</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provision (benefit) consists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2940" w:type="dxa"/>
            <w:vAlign w:val="bottom"/>
            <w:tcBorders>
              <w:bottom w:val="single" w:sz="8" w:color="CCEEFF"/>
            </w:tcBorders>
          </w:tcPr>
          <w:p>
            <w:pPr>
              <w:ind w:left="28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940" w:type="dxa"/>
            <w:vAlign w:val="bottom"/>
            <w:shd w:val="clear" w:color="auto" w:fill="CCEEFF"/>
          </w:tcPr>
          <w:p>
            <w:pPr>
              <w:ind w:left="28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Federal</w:t>
            </w:r>
          </w:p>
        </w:tc>
        <w:tc>
          <w:tcPr>
            <w:tcW w:w="326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1,119 </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State</w:t>
            </w:r>
          </w:p>
        </w:tc>
        <w:tc>
          <w:tcPr>
            <w:tcW w:w="2940" w:type="dxa"/>
            <w:vAlign w:val="bottom"/>
            <w:shd w:val="clear" w:color="auto" w:fill="CCEEFF"/>
          </w:tcPr>
          <w:p>
            <w:pPr>
              <w:ind w:left="28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09"/>
        </w:trPr>
        <w:tc>
          <w:tcPr>
            <w:tcW w:w="4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Domestic</w:t>
            </w:r>
          </w:p>
        </w:tc>
        <w:tc>
          <w:tcPr>
            <w:tcW w:w="2980" w:type="dxa"/>
            <w:vAlign w:val="bottom"/>
            <w:gridSpan w:val="2"/>
          </w:tcPr>
          <w:p>
            <w:pPr>
              <w:ind w:left="28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1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1,213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3260" w:type="dxa"/>
            <w:vAlign w:val="bottom"/>
            <w:gridSpan w:val="3"/>
            <w:shd w:val="clear" w:color="auto" w:fill="CCEEFF"/>
          </w:tcPr>
          <w:p>
            <w:pPr>
              <w:ind w:left="28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3,053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0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          Total current</w:t>
            </w:r>
          </w:p>
        </w:tc>
        <w:tc>
          <w:tcPr>
            <w:tcW w:w="294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8"/>
                <w:szCs w:val="18"/>
                <w:color w:val="auto"/>
              </w:rPr>
            </w:pPr>
          </w:p>
        </w:tc>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3,171 </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2940" w:type="dxa"/>
            <w:vAlign w:val="bottom"/>
            <w:shd w:val="clear" w:color="auto" w:fill="CCEEFF"/>
          </w:tcPr>
          <w:p>
            <w:pPr>
              <w:ind w:left="28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Federal</w:t>
            </w:r>
          </w:p>
        </w:tc>
        <w:tc>
          <w:tcPr>
            <w:tcW w:w="326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10,283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2,407 </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State</w:t>
            </w:r>
          </w:p>
        </w:tc>
        <w:tc>
          <w:tcPr>
            <w:tcW w:w="2940" w:type="dxa"/>
            <w:vAlign w:val="bottom"/>
            <w:shd w:val="clear" w:color="auto" w:fill="CCEEFF"/>
          </w:tcPr>
          <w:p>
            <w:pPr>
              <w:ind w:left="28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09"/>
        </w:trPr>
        <w:tc>
          <w:tcPr>
            <w:tcW w:w="4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Domestic</w:t>
            </w:r>
          </w:p>
        </w:tc>
        <w:tc>
          <w:tcPr>
            <w:tcW w:w="2980" w:type="dxa"/>
            <w:vAlign w:val="bottom"/>
            <w:gridSpan w:val="2"/>
          </w:tcPr>
          <w:p>
            <w:pPr>
              <w:ind w:left="28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10,934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2,170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3260" w:type="dxa"/>
            <w:vAlign w:val="bottom"/>
            <w:gridSpan w:val="3"/>
            <w:shd w:val="clear" w:color="auto" w:fill="CCEEFF"/>
          </w:tcPr>
          <w:p>
            <w:pPr>
              <w:ind w:left="28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  </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 </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1,071 </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2980" w:type="dxa"/>
            <w:vAlign w:val="bottom"/>
            <w:gridSpan w:val="2"/>
          </w:tcPr>
          <w:p>
            <w:pPr>
              <w:ind w:left="28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8,896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 </w:t>
            </w:r>
          </w:p>
        </w:tc>
        <w:tc>
          <w:tcPr>
            <w:tcW w:w="1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3,241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940" w:type="dxa"/>
            <w:vAlign w:val="bottom"/>
            <w:shd w:val="clear" w:color="auto" w:fill="CCEEFF"/>
          </w:tcPr>
          <w:p>
            <w:pPr>
              <w:ind w:left="28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260" w:type="dxa"/>
            <w:vAlign w:val="bottom"/>
            <w:gridSpan w:val="3"/>
          </w:tcPr>
          <w:p>
            <w:pPr>
              <w:ind w:left="286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12,067    $</w:t>
            </w:r>
          </w:p>
        </w:tc>
        <w:tc>
          <w:tcPr>
            <w:tcW w:w="540" w:type="dxa"/>
            <w:vAlign w:val="bottom"/>
          </w:tcPr>
          <w:p>
            <w:pPr>
              <w:spacing w:after="0"/>
              <w:rPr>
                <w:sz w:val="21"/>
                <w:szCs w:val="21"/>
                <w:color w:val="auto"/>
              </w:rPr>
            </w:pPr>
          </w:p>
        </w:tc>
        <w:tc>
          <w:tcPr>
            <w:tcW w:w="90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color w:val="auto"/>
              </w:rPr>
              <w:t>(670)   $</w:t>
            </w:r>
          </w:p>
        </w:tc>
        <w:tc>
          <w:tcPr>
            <w:tcW w:w="56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3,534 </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vMerge w:val="continue"/>
          </w:tcPr>
          <w:p>
            <w:pPr>
              <w:spacing w:after="0"/>
              <w:rPr>
                <w:sz w:val="17"/>
                <w:szCs w:val="17"/>
                <w:color w:val="auto"/>
              </w:rPr>
            </w:pPr>
          </w:p>
        </w:tc>
        <w:tc>
          <w:tcPr>
            <w:tcW w:w="2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reconciliation of income tax provision (benefit) attributable to earnings differed from the amounts computed by applying the U.S. Federal statutory income tax rate to earnings by the following amounts:</w:t>
      </w:r>
    </w:p>
    <w:tbl>
      <w:tblPr>
        <w:tblLayout w:type="fixed"/>
        <w:tblInd w:w="0" w:type="dxa"/>
        <w:tblCellMar>
          <w:top w:w="0" w:type="dxa"/>
          <w:left w:w="0" w:type="dxa"/>
          <w:bottom w:w="0" w:type="dxa"/>
          <w:right w:w="0" w:type="dxa"/>
        </w:tblCellMar>
      </w:tblPr>
      <w:tr>
        <w:trPr>
          <w:trHeight w:val="198"/>
        </w:trPr>
        <w:tc>
          <w:tcPr>
            <w:tcW w:w="666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 </w:t>
            </w: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 Income (loss) before income taxes:</w:t>
            </w: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vMerge w:val="restart"/>
          </w:tcPr>
          <w:p>
            <w:pPr>
              <w:ind w:left="15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vMerge w:val="restart"/>
          </w:tcPr>
          <w:p>
            <w:pPr>
              <w:jc w:val="right"/>
              <w:ind w:right="45"/>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3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gridSpan w:val="2"/>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Domestic</w:t>
            </w:r>
          </w:p>
        </w:tc>
        <w:tc>
          <w:tcPr>
            <w:tcW w:w="1700" w:type="dxa"/>
            <w:vAlign w:val="bottom"/>
            <w:tcBorders>
              <w:top w:val="single" w:sz="8" w:color="CCEEFF"/>
            </w:tcBorders>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196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2,939 </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3"/>
          </w:tcPr>
          <w:p>
            <w:pPr>
              <w:jc w:val="right"/>
              <w:ind w:right="45"/>
              <w:spacing w:after="0"/>
              <w:rPr>
                <w:sz w:val="20"/>
                <w:szCs w:val="20"/>
                <w:color w:val="auto"/>
              </w:rPr>
            </w:pPr>
            <w:r>
              <w:rPr>
                <w:rFonts w:ascii="Times New Roman" w:cs="Times New Roman" w:eastAsia="Times New Roman" w:hAnsi="Times New Roman"/>
                <w:sz w:val="18"/>
                <w:szCs w:val="18"/>
                <w:color w:val="auto"/>
              </w:rPr>
              <w:t>19,965 </w:t>
            </w:r>
          </w:p>
        </w:tc>
        <w:tc>
          <w:tcPr>
            <w:tcW w:w="0" w:type="dxa"/>
            <w:vAlign w:val="bottom"/>
          </w:tcPr>
          <w:p>
            <w:pPr>
              <w:spacing w:after="0"/>
              <w:rPr>
                <w:sz w:val="1"/>
                <w:szCs w:val="1"/>
                <w:color w:val="auto"/>
              </w:rPr>
            </w:pPr>
          </w:p>
        </w:tc>
      </w:tr>
      <w:tr>
        <w:trPr>
          <w:trHeight w:val="20"/>
        </w:trPr>
        <w:tc>
          <w:tcPr>
            <w:tcW w:w="6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vMerge w:val="restart"/>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60" w:type="dxa"/>
            <w:vAlign w:val="bottom"/>
            <w:vMerge w:val="continue"/>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3"/>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               Total</w:t>
            </w:r>
          </w:p>
        </w:tc>
        <w:tc>
          <w:tcPr>
            <w:tcW w:w="17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45"/>
              <w:spacing w:after="0"/>
              <w:rPr>
                <w:sz w:val="20"/>
                <w:szCs w:val="20"/>
                <w:color w:val="auto"/>
              </w:rPr>
            </w:pPr>
            <w:r>
              <w:rPr>
                <w:rFonts w:ascii="Times New Roman" w:cs="Times New Roman" w:eastAsia="Times New Roman" w:hAnsi="Times New Roman"/>
                <w:sz w:val="18"/>
                <w:szCs w:val="18"/>
                <w:color w:val="auto"/>
              </w:rPr>
              <w:t>16,970 </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tcBorders>
              <w:top w:val="single" w:sz="8" w:color="CCEEFF"/>
            </w:tcBorders>
            <w:vMerge w:val="restart"/>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vMerge w:val="continue"/>
            <w:shd w:val="clear" w:color="auto" w:fill="CCEEFF"/>
          </w:tcPr>
          <w:p>
            <w:pPr>
              <w:spacing w:after="0"/>
              <w:rPr>
                <w:sz w:val="17"/>
                <w:szCs w:val="17"/>
                <w:color w:val="auto"/>
              </w:rPr>
            </w:pPr>
          </w:p>
        </w:tc>
        <w:tc>
          <w:tcPr>
            <w:tcW w:w="170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vMerge w:val="continue"/>
            <w:shd w:val="clear" w:color="auto" w:fill="CCEEFF"/>
          </w:tcPr>
          <w:p>
            <w:pPr>
              <w:spacing w:after="0"/>
              <w:rPr>
                <w:sz w:val="17"/>
                <w:szCs w:val="17"/>
                <w:color w:val="auto"/>
              </w:rPr>
            </w:pPr>
          </w:p>
        </w:tc>
        <w:tc>
          <w:tcPr>
            <w:tcW w:w="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5"/>
              <w:spacing w:after="0" w:line="196"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Computed income tax provision (benefit)</w:t>
            </w:r>
          </w:p>
        </w:tc>
        <w:tc>
          <w:tcPr>
            <w:tcW w:w="196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58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w w:val="99"/>
              </w:rPr>
              <w:t>3,592 </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and local taxes, net of federal tax</w:t>
            </w:r>
          </w:p>
        </w:tc>
        <w:tc>
          <w:tcPr>
            <w:tcW w:w="196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113 </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Foreign taxes, net</w:t>
            </w:r>
          </w:p>
        </w:tc>
        <w:tc>
          <w:tcPr>
            <w:tcW w:w="196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58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w w:val="99"/>
              </w:rPr>
              <w:t>1,355 </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96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5,166 </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3"/>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(1,568)</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positions - (benefit) expense</w:t>
            </w:r>
          </w:p>
        </w:tc>
        <w:tc>
          <w:tcPr>
            <w:tcW w:w="196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3"/>
          </w:tcPr>
          <w:p>
            <w:pPr>
              <w:jc w:val="right"/>
              <w:ind w:right="25"/>
              <w:spacing w:after="0"/>
              <w:rPr>
                <w:sz w:val="20"/>
                <w:szCs w:val="20"/>
                <w:color w:val="auto"/>
              </w:rPr>
            </w:pPr>
            <w:r>
              <w:rPr>
                <w:rFonts w:ascii="Times New Roman" w:cs="Times New Roman" w:eastAsia="Times New Roman" w:hAnsi="Times New Roman"/>
                <w:sz w:val="18"/>
                <w:szCs w:val="18"/>
                <w:color w:val="auto"/>
              </w:rPr>
              <w:t>(6,214)</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impact</w:t>
            </w:r>
          </w:p>
        </w:tc>
        <w:tc>
          <w:tcPr>
            <w:tcW w:w="196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 net</w:t>
            </w:r>
          </w:p>
        </w:tc>
        <w:tc>
          <w:tcPr>
            <w:tcW w:w="196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58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w w:val="99"/>
              </w:rPr>
              <w:t>2,880 </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Revaluation of deferreds</w:t>
            </w:r>
          </w:p>
        </w:tc>
        <w:tc>
          <w:tcPr>
            <w:tcW w:w="196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1,574 </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196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9"/>
                <w:szCs w:val="19"/>
                <w:color w:val="auto"/>
              </w:rPr>
            </w:pPr>
          </w:p>
        </w:tc>
        <w:tc>
          <w:tcPr>
            <w:tcW w:w="58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w w:val="99"/>
              </w:rPr>
              <w:t>3,728 </w:t>
            </w:r>
          </w:p>
        </w:tc>
        <w:tc>
          <w:tcPr>
            <w:tcW w:w="0" w:type="dxa"/>
            <w:vAlign w:val="bottom"/>
          </w:tcPr>
          <w:p>
            <w:pPr>
              <w:spacing w:after="0"/>
              <w:rPr>
                <w:sz w:val="1"/>
                <w:szCs w:val="1"/>
                <w:color w:val="auto"/>
              </w:rPr>
            </w:pPr>
          </w:p>
        </w:tc>
      </w:tr>
      <w:tr>
        <w:trPr>
          <w:trHeight w:val="223"/>
        </w:trPr>
        <w:tc>
          <w:tcPr>
            <w:tcW w:w="6660" w:type="dxa"/>
            <w:vAlign w:val="bottom"/>
            <w:tcBorders>
              <w:top w:val="single" w:sz="8" w:color="CCEEFF"/>
              <w:bottom w:val="single" w:sz="8" w:color="CCEEFF"/>
            </w:tcBorders>
            <w:shd w:val="clear" w:color="auto" w:fill="CCEEFF"/>
          </w:tcPr>
          <w:p>
            <w:pPr>
              <w:ind w:left="316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1700" w:type="dxa"/>
            <w:vAlign w:val="bottom"/>
            <w:tcBorders>
              <w:top w:val="single" w:sz="8" w:color="CCEEFF"/>
              <w:bottom w:val="single" w:sz="8" w:color="CCEEFF"/>
            </w:tcBorders>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3,534</w:t>
            </w:r>
          </w:p>
        </w:tc>
        <w:tc>
          <w:tcPr>
            <w:tcW w:w="160" w:type="dxa"/>
            <w:vAlign w:val="bottom"/>
            <w:tcBorders>
              <w:top w:val="single" w:sz="8" w:color="CCEEFF"/>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vMerge w:val="restart"/>
          </w:tcPr>
          <w:p>
            <w:pPr>
              <w:ind w:left="15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continue"/>
          </w:tcPr>
          <w:p>
            <w:pPr>
              <w:spacing w:after="0"/>
              <w:rPr>
                <w:sz w:val="17"/>
                <w:szCs w:val="17"/>
                <w:color w:val="auto"/>
              </w:rPr>
            </w:pPr>
          </w:p>
        </w:tc>
        <w:tc>
          <w:tcPr>
            <w:tcW w:w="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7"/>
                <w:szCs w:val="17"/>
                <w:color w:val="auto"/>
              </w:rPr>
            </w:pPr>
          </w:p>
        </w:tc>
        <w:tc>
          <w:tcPr>
            <w:tcW w:w="580" w:type="dxa"/>
            <w:vAlign w:val="bottom"/>
            <w:gridSpan w:val="2"/>
          </w:tcPr>
          <w:p>
            <w:pPr>
              <w:jc w:val="right"/>
              <w:ind w:right="45"/>
              <w:spacing w:after="0" w:line="196"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Computed income tax (benefit) provision</w:t>
            </w:r>
          </w:p>
        </w:tc>
        <w:tc>
          <w:tcPr>
            <w:tcW w:w="196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taxes, net of federal tax</w:t>
            </w:r>
          </w:p>
        </w:tc>
        <w:tc>
          <w:tcPr>
            <w:tcW w:w="196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taxes, net</w:t>
            </w:r>
          </w:p>
        </w:tc>
        <w:tc>
          <w:tcPr>
            <w:tcW w:w="196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96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-82.3% </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positions - expense (benefit)</w:t>
            </w:r>
          </w:p>
        </w:tc>
        <w:tc>
          <w:tcPr>
            <w:tcW w:w="196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 </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impact</w:t>
            </w:r>
          </w:p>
        </w:tc>
        <w:tc>
          <w:tcPr>
            <w:tcW w:w="196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 net</w:t>
            </w:r>
          </w:p>
        </w:tc>
        <w:tc>
          <w:tcPr>
            <w:tcW w:w="196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Revaluation of deferreds</w:t>
            </w:r>
          </w:p>
        </w:tc>
        <w:tc>
          <w:tcPr>
            <w:tcW w:w="196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196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63"/>
        </w:trPr>
        <w:tc>
          <w:tcPr>
            <w:tcW w:w="6660" w:type="dxa"/>
            <w:vAlign w:val="bottom"/>
            <w:tcBorders>
              <w:bottom w:val="single" w:sz="8" w:color="CCEEFF"/>
            </w:tcBorders>
          </w:tcPr>
          <w:p>
            <w:pPr>
              <w:ind w:left="32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700" w:type="dxa"/>
            <w:vAlign w:val="bottom"/>
            <w:tcBorders>
              <w:bottom w:val="single" w:sz="8" w:color="CCEEFF"/>
            </w:tcBorders>
          </w:tcPr>
          <w:p>
            <w:pPr>
              <w:ind w:left="15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 </w:t>
            </w: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96"/>
        </w:trPr>
        <w:tc>
          <w:tcPr>
            <w:tcW w:w="66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700" w:type="dxa"/>
            <w:vAlign w:val="bottom"/>
            <w:shd w:val="clear" w:color="auto" w:fill="CCEEFF"/>
          </w:tcPr>
          <w:p>
            <w:pPr>
              <w:ind w:left="158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5"/>
              <w:spacing w:after="0" w:line="196"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6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Statutory federal rate</w:t>
            </w:r>
          </w:p>
        </w:tc>
        <w:tc>
          <w:tcPr>
            <w:tcW w:w="1960" w:type="dxa"/>
            <w:vAlign w:val="bottom"/>
            <w:gridSpan w:val="2"/>
          </w:tcPr>
          <w:p>
            <w:pPr>
              <w:ind w:left="158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7"/>
                <w:szCs w:val="17"/>
                <w:color w:val="auto"/>
              </w:rPr>
            </w:pPr>
          </w:p>
        </w:tc>
        <w:tc>
          <w:tcPr>
            <w:tcW w:w="960" w:type="dxa"/>
            <w:vAlign w:val="bottom"/>
            <w:gridSpan w:val="4"/>
          </w:tcPr>
          <w:p>
            <w:pPr>
              <w:jc w:val="right"/>
              <w:ind w:right="130"/>
              <w:spacing w:after="0" w:line="198" w:lineRule="exact"/>
              <w:rPr>
                <w:sz w:val="20"/>
                <w:szCs w:val="20"/>
                <w:color w:val="auto"/>
              </w:rPr>
            </w:pPr>
            <w:r>
              <w:rPr>
                <w:rFonts w:ascii="Times New Roman" w:cs="Times New Roman" w:eastAsia="Times New Roman" w:hAnsi="Times New Roman"/>
                <w:sz w:val="18"/>
                <w:szCs w:val="18"/>
                <w:color w:val="auto"/>
              </w:rPr>
              <w:t>21.0%   </w:t>
            </w:r>
          </w:p>
        </w:tc>
        <w:tc>
          <w:tcPr>
            <w:tcW w:w="540" w:type="dxa"/>
            <w:vAlign w:val="bottom"/>
          </w:tcPr>
          <w:p>
            <w:pPr>
              <w:spacing w:after="0"/>
              <w:rPr>
                <w:sz w:val="17"/>
                <w:szCs w:val="17"/>
                <w:color w:val="auto"/>
              </w:rPr>
            </w:pPr>
          </w:p>
        </w:tc>
        <w:tc>
          <w:tcPr>
            <w:tcW w:w="5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3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ectPr>
          <w:pgSz w:w="11900" w:h="16838" w:orient="portrait"/>
          <w:cols w:equalWidth="0" w:num="1">
            <w:col w:w="11240"/>
          </w:cols>
          <w:pgMar w:left="320" w:top="220" w:right="339" w:bottom="1440" w:gutter="0" w:footer="0" w:header="0"/>
        </w:sect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vMerge w:val="restart"/>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vMerge w:val="restart"/>
          </w:tcPr>
          <w:p>
            <w:pPr>
              <w:jc w:val="right"/>
              <w:ind w:right="86"/>
              <w:spacing w:after="0"/>
              <w:rPr>
                <w:sz w:val="20"/>
                <w:szCs w:val="20"/>
                <w:color w:val="auto"/>
              </w:rPr>
            </w:pPr>
            <w:r>
              <w:rPr>
                <w:rFonts w:ascii="Times New Roman" w:cs="Times New Roman" w:eastAsia="Times New Roman" w:hAnsi="Times New Roman"/>
                <w:sz w:val="1"/>
                <w:szCs w:val="1"/>
                <w:color w:val="auto"/>
                <w:w w:val="4294967272"/>
              </w:rPr>
              <w:t> </w:t>
            </w: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vMerge w:val="continue"/>
          </w:tcPr>
          <w:p>
            <w:pPr>
              <w:spacing w:after="0"/>
              <w:rPr>
                <w:sz w:val="20"/>
                <w:szCs w:val="20"/>
                <w:color w:val="auto"/>
              </w:rPr>
            </w:pPr>
          </w:p>
        </w:tc>
        <w:tc>
          <w:tcPr>
            <w:tcW w:w="1220" w:type="dxa"/>
            <w:vAlign w:val="bottom"/>
            <w:gridSpan w:val="3"/>
          </w:tcPr>
          <w:p>
            <w:pPr>
              <w:jc w:val="right"/>
              <w:ind w:right="53"/>
              <w:spacing w:after="0"/>
              <w:rPr>
                <w:sz w:val="20"/>
                <w:szCs w:val="20"/>
                <w:color w:val="auto"/>
              </w:rPr>
            </w:pPr>
            <w:r>
              <w:rPr>
                <w:rFonts w:ascii="Times New Roman" w:cs="Times New Roman" w:eastAsia="Times New Roman" w:hAnsi="Times New Roman"/>
                <w:sz w:val="18"/>
                <w:szCs w:val="18"/>
                <w:color w:val="auto"/>
              </w:rPr>
              <w:t>2025</w:t>
            </w:r>
          </w:p>
        </w:tc>
        <w:tc>
          <w:tcPr>
            <w:tcW w:w="78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3"/>
          </w:tcPr>
          <w:p>
            <w:pPr>
              <w:jc w:val="right"/>
              <w:ind w:right="173"/>
              <w:spacing w:after="0"/>
              <w:rPr>
                <w:sz w:val="20"/>
                <w:szCs w:val="20"/>
                <w:color w:val="auto"/>
              </w:rPr>
            </w:pPr>
            <w:r>
              <w:rPr>
                <w:rFonts w:ascii="Times New Roman" w:cs="Times New Roman" w:eastAsia="Times New Roman" w:hAnsi="Times New Roman"/>
                <w:sz w:val="18"/>
                <w:szCs w:val="18"/>
                <w:color w:val="auto"/>
              </w:rPr>
              <w:t>Amount     </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Tax Rate</w:t>
            </w:r>
          </w:p>
        </w:tc>
        <w:tc>
          <w:tcPr>
            <w:tcW w:w="140" w:type="dxa"/>
            <w:vAlign w:val="bottom"/>
          </w:tcPr>
          <w:p>
            <w:pPr>
              <w:jc w:val="right"/>
              <w:ind w:right="86"/>
              <w:spacing w:after="0"/>
              <w:rPr>
                <w:sz w:val="20"/>
                <w:szCs w:val="20"/>
                <w:color w:val="auto"/>
              </w:rPr>
            </w:pPr>
            <w:r>
              <w:rPr>
                <w:rFonts w:ascii="Times New Roman" w:cs="Times New Roman" w:eastAsia="Times New Roman" w:hAnsi="Times New Roman"/>
                <w:sz w:val="1"/>
                <w:szCs w:val="1"/>
                <w:color w:val="auto"/>
                <w:w w:val="4294967272"/>
              </w:rPr>
              <w:t> </w:t>
            </w:r>
          </w:p>
        </w:tc>
        <w:tc>
          <w:tcPr>
            <w:tcW w:w="0" w:type="dxa"/>
            <w:vAlign w:val="bottom"/>
          </w:tcPr>
          <w:p>
            <w:pPr>
              <w:spacing w:after="0"/>
              <w:rPr>
                <w:sz w:val="1"/>
                <w:szCs w:val="1"/>
                <w:color w:val="auto"/>
              </w:rPr>
            </w:pPr>
          </w:p>
        </w:tc>
      </w:tr>
      <w:tr>
        <w:trPr>
          <w:trHeight w:val="20"/>
        </w:trPr>
        <w:tc>
          <w:tcPr>
            <w:tcW w:w="5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960" w:type="dxa"/>
            <w:vAlign w:val="bottom"/>
            <w:vMerge w:val="restart"/>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(11,072)</w:t>
            </w:r>
          </w:p>
        </w:tc>
        <w:tc>
          <w:tcPr>
            <w:tcW w:w="1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75"/>
              </w:rPr>
              <w:t>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Domestic federal</w:t>
            </w: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86"/>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credits</w:t>
            </w:r>
          </w:p>
        </w:tc>
        <w:tc>
          <w:tcPr>
            <w:tcW w:w="11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Research credits</w:t>
            </w: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Nontaxable and nondeductible items</w:t>
            </w: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jc w:val="right"/>
              <w:ind w:right="93"/>
              <w:spacing w:after="0"/>
              <w:rPr>
                <w:sz w:val="20"/>
                <w:szCs w:val="20"/>
                <w:color w:val="auto"/>
              </w:rPr>
            </w:pPr>
            <w:r>
              <w:rPr>
                <w:rFonts w:ascii="Times New Roman" w:cs="Times New Roman" w:eastAsia="Times New Roman" w:hAnsi="Times New Roman"/>
                <w:sz w:val="18"/>
                <w:szCs w:val="18"/>
                <w:color w:val="auto"/>
              </w:rPr>
              <w:t>(182)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Cross-border tax laws</w:t>
            </w:r>
          </w:p>
        </w:tc>
        <w:tc>
          <w:tcPr>
            <w:tcW w:w="11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183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Excess tax benefits on share-based payments</w:t>
            </w: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1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17,830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16"/>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UTP</w:t>
            </w: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Tax Laws or Rates Enacted in the Current Period</w:t>
            </w:r>
          </w:p>
        </w:tc>
        <w:tc>
          <w:tcPr>
            <w:tcW w:w="11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Tax Contingencies</w:t>
            </w: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Expiration of NOLs</w:t>
            </w:r>
          </w:p>
        </w:tc>
        <w:tc>
          <w:tcPr>
            <w:tcW w:w="11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1,743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jc w:val="right"/>
              <w:ind w:right="93"/>
              <w:spacing w:after="0"/>
              <w:rPr>
                <w:sz w:val="20"/>
                <w:szCs w:val="20"/>
                <w:color w:val="auto"/>
              </w:rPr>
            </w:pPr>
            <w:r>
              <w:rPr>
                <w:rFonts w:ascii="Times New Roman" w:cs="Times New Roman" w:eastAsia="Times New Roman" w:hAnsi="Times New Roman"/>
                <w:sz w:val="18"/>
                <w:szCs w:val="18"/>
                <w:color w:val="auto"/>
              </w:rPr>
              <w:t>66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57"/>
        </w:trPr>
        <w:tc>
          <w:tcPr>
            <w:tcW w:w="574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Domestic state and local income taxes, net of federal effect </w:t>
            </w:r>
            <w:r>
              <w:rPr>
                <w:rFonts w:ascii="Times New Roman" w:cs="Times New Roman" w:eastAsia="Times New Roman" w:hAnsi="Times New Roman"/>
                <w:sz w:val="29"/>
                <w:szCs w:val="29"/>
                <w:color w:val="auto"/>
                <w:vertAlign w:val="superscript"/>
              </w:rPr>
              <w:t>(1)</w:t>
            </w:r>
          </w:p>
        </w:tc>
        <w:tc>
          <w:tcPr>
            <w:tcW w:w="11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752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86"/>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tax effects</w:t>
            </w:r>
          </w:p>
        </w:tc>
        <w:tc>
          <w:tcPr>
            <w:tcW w:w="11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Mexico</w:t>
            </w: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86"/>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Statutory income tax rate differential</w:t>
            </w:r>
          </w:p>
        </w:tc>
        <w:tc>
          <w:tcPr>
            <w:tcW w:w="11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172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5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Nondeductible expenses</w:t>
            </w: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86"/>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Safe Harbor Adjustment</w:t>
            </w:r>
          </w:p>
        </w:tc>
        <w:tc>
          <w:tcPr>
            <w:tcW w:w="11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469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5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Other</w:t>
            </w: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jc w:val="right"/>
              <w:ind w:right="93"/>
              <w:spacing w:after="0"/>
              <w:rPr>
                <w:sz w:val="20"/>
                <w:szCs w:val="20"/>
                <w:color w:val="auto"/>
              </w:rPr>
            </w:pPr>
            <w:r>
              <w:rPr>
                <w:rFonts w:ascii="Times New Roman" w:cs="Times New Roman" w:eastAsia="Times New Roman" w:hAnsi="Times New Roman"/>
                <w:sz w:val="18"/>
                <w:szCs w:val="18"/>
                <w:color w:val="auto"/>
              </w:rPr>
              <w:t>227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(49)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France</w:t>
            </w: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86"/>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Statutory income tax rate differential</w:t>
            </w:r>
          </w:p>
        </w:tc>
        <w:tc>
          <w:tcPr>
            <w:tcW w:w="11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(151)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5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Nontaxable and nondeductible items</w:t>
            </w: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CVAE</w:t>
            </w:r>
          </w:p>
        </w:tc>
        <w:tc>
          <w:tcPr>
            <w:tcW w:w="11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126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5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jc w:val="right"/>
              <w:ind w:right="93"/>
              <w:spacing w:after="0"/>
              <w:rPr>
                <w:sz w:val="20"/>
                <w:szCs w:val="20"/>
                <w:color w:val="auto"/>
              </w:rPr>
            </w:pPr>
            <w:r>
              <w:rPr>
                <w:rFonts w:ascii="Times New Roman" w:cs="Times New Roman" w:eastAsia="Times New Roman" w:hAnsi="Times New Roman"/>
                <w:sz w:val="18"/>
                <w:szCs w:val="18"/>
                <w:color w:val="auto"/>
              </w:rPr>
              <w:t>(83)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Germany</w:t>
            </w:r>
          </w:p>
        </w:tc>
        <w:tc>
          <w:tcPr>
            <w:tcW w:w="11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Statutory income tax rate differential</w:t>
            </w: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jc w:val="right"/>
              <w:ind w:right="93"/>
              <w:spacing w:after="0"/>
              <w:rPr>
                <w:sz w:val="20"/>
                <w:szCs w:val="20"/>
                <w:color w:val="auto"/>
              </w:rPr>
            </w:pPr>
            <w:r>
              <w:rPr>
                <w:rFonts w:ascii="Times New Roman" w:cs="Times New Roman" w:eastAsia="Times New Roman" w:hAnsi="Times New Roman"/>
                <w:sz w:val="18"/>
                <w:szCs w:val="18"/>
                <w:color w:val="auto"/>
              </w:rPr>
              <w:t>313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1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Nontaxable and nondeductible items</w:t>
            </w: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86"/>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Other</w:t>
            </w:r>
          </w:p>
        </w:tc>
        <w:tc>
          <w:tcPr>
            <w:tcW w:w="11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332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5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Trade taxes</w:t>
            </w: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jc w:val="right"/>
              <w:ind w:right="93"/>
              <w:spacing w:after="0"/>
              <w:rPr>
                <w:sz w:val="20"/>
                <w:szCs w:val="20"/>
                <w:color w:val="auto"/>
              </w:rPr>
            </w:pPr>
            <w:r>
              <w:rPr>
                <w:rFonts w:ascii="Times New Roman" w:cs="Times New Roman" w:eastAsia="Times New Roman" w:hAnsi="Times New Roman"/>
                <w:sz w:val="18"/>
                <w:szCs w:val="18"/>
                <w:color w:val="auto"/>
              </w:rPr>
              <w:t>(522)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Changes in Tax Laws or Rates Enacted in the Current Period</w:t>
            </w:r>
          </w:p>
        </w:tc>
        <w:tc>
          <w:tcPr>
            <w:tcW w:w="11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525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jc w:val="right"/>
              <w:ind w:right="93"/>
              <w:spacing w:after="0"/>
              <w:rPr>
                <w:sz w:val="20"/>
                <w:szCs w:val="20"/>
                <w:color w:val="auto"/>
              </w:rPr>
            </w:pPr>
            <w:r>
              <w:rPr>
                <w:rFonts w:ascii="Times New Roman" w:cs="Times New Roman" w:eastAsia="Times New Roman" w:hAnsi="Times New Roman"/>
                <w:sz w:val="18"/>
                <w:szCs w:val="18"/>
                <w:color w:val="auto"/>
              </w:rPr>
              <w:t>112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Poland</w:t>
            </w:r>
          </w:p>
        </w:tc>
        <w:tc>
          <w:tcPr>
            <w:tcW w:w="11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Statutory income tax rate differential</w:t>
            </w: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jc w:val="right"/>
              <w:ind w:right="93"/>
              <w:spacing w:after="0"/>
              <w:rPr>
                <w:sz w:val="20"/>
                <w:szCs w:val="20"/>
                <w:color w:val="auto"/>
              </w:rPr>
            </w:pPr>
            <w:r>
              <w:rPr>
                <w:rFonts w:ascii="Times New Roman" w:cs="Times New Roman" w:eastAsia="Times New Roman" w:hAnsi="Times New Roman"/>
                <w:sz w:val="18"/>
                <w:szCs w:val="18"/>
                <w:color w:val="auto"/>
              </w:rPr>
              <w:t>(21)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1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(418)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5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Nontaxable and nondeductible items</w:t>
            </w: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jc w:val="right"/>
              <w:ind w:right="93"/>
              <w:spacing w:after="0"/>
              <w:rPr>
                <w:sz w:val="20"/>
                <w:szCs w:val="20"/>
                <w:color w:val="auto"/>
              </w:rPr>
            </w:pPr>
            <w:r>
              <w:rPr>
                <w:rFonts w:ascii="Times New Roman" w:cs="Times New Roman" w:eastAsia="Times New Roman" w:hAnsi="Times New Roman"/>
                <w:sz w:val="18"/>
                <w:szCs w:val="18"/>
                <w:color w:val="auto"/>
              </w:rPr>
              <w:t>52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Write-down of Credits</w:t>
            </w:r>
          </w:p>
        </w:tc>
        <w:tc>
          <w:tcPr>
            <w:tcW w:w="11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1,015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Brazil</w:t>
            </w: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86"/>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Statutory income tax rate differential</w:t>
            </w:r>
          </w:p>
        </w:tc>
        <w:tc>
          <w:tcPr>
            <w:tcW w:w="11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753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jc w:val="right"/>
              <w:ind w:right="93"/>
              <w:spacing w:after="0"/>
              <w:rPr>
                <w:sz w:val="20"/>
                <w:szCs w:val="20"/>
                <w:color w:val="auto"/>
              </w:rPr>
            </w:pPr>
            <w:r>
              <w:rPr>
                <w:rFonts w:ascii="Times New Roman" w:cs="Times New Roman" w:eastAsia="Times New Roman" w:hAnsi="Times New Roman"/>
                <w:sz w:val="18"/>
                <w:szCs w:val="18"/>
                <w:color w:val="auto"/>
              </w:rPr>
              <w:t>(1,969)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Nontaxable and nondeductible items</w:t>
            </w:r>
          </w:p>
        </w:tc>
        <w:tc>
          <w:tcPr>
            <w:tcW w:w="11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Translation Gain/(Losses)</w:t>
            </w: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jc w:val="right"/>
              <w:ind w:right="93"/>
              <w:spacing w:after="0"/>
              <w:rPr>
                <w:sz w:val="20"/>
                <w:szCs w:val="20"/>
                <w:color w:val="auto"/>
              </w:rPr>
            </w:pPr>
            <w:r>
              <w:rPr>
                <w:rFonts w:ascii="Times New Roman" w:cs="Times New Roman" w:eastAsia="Times New Roman" w:hAnsi="Times New Roman"/>
                <w:sz w:val="18"/>
                <w:szCs w:val="18"/>
                <w:color w:val="auto"/>
              </w:rPr>
              <w:t>650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Other</w:t>
            </w:r>
          </w:p>
        </w:tc>
        <w:tc>
          <w:tcPr>
            <w:tcW w:w="11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983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Philippines</w:t>
            </w:r>
          </w:p>
        </w:tc>
        <w:tc>
          <w:tcPr>
            <w:tcW w:w="11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Statutory income tax rate differential</w:t>
            </w: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jc w:val="right"/>
              <w:ind w:right="93"/>
              <w:spacing w:after="0"/>
              <w:rPr>
                <w:sz w:val="20"/>
                <w:szCs w:val="20"/>
                <w:color w:val="auto"/>
              </w:rPr>
            </w:pPr>
            <w:r>
              <w:rPr>
                <w:rFonts w:ascii="Times New Roman" w:cs="Times New Roman" w:eastAsia="Times New Roman" w:hAnsi="Times New Roman"/>
                <w:sz w:val="18"/>
                <w:szCs w:val="18"/>
                <w:color w:val="auto"/>
              </w:rPr>
              <w:t>(60)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Nontaxable and nondeductible items</w:t>
            </w:r>
          </w:p>
        </w:tc>
        <w:tc>
          <w:tcPr>
            <w:tcW w:w="11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157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5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Italy</w:t>
            </w:r>
          </w:p>
        </w:tc>
        <w:tc>
          <w:tcPr>
            <w:tcW w:w="11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Statutory income tax rate differential</w:t>
            </w: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jc w:val="right"/>
              <w:ind w:right="93"/>
              <w:spacing w:after="0"/>
              <w:rPr>
                <w:sz w:val="20"/>
                <w:szCs w:val="20"/>
                <w:color w:val="auto"/>
              </w:rPr>
            </w:pPr>
            <w:r>
              <w:rPr>
                <w:rFonts w:ascii="Times New Roman" w:cs="Times New Roman" w:eastAsia="Times New Roman" w:hAnsi="Times New Roman"/>
                <w:sz w:val="18"/>
                <w:szCs w:val="18"/>
                <w:color w:val="auto"/>
              </w:rPr>
              <w:t>71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IRAP</w:t>
            </w:r>
          </w:p>
        </w:tc>
        <w:tc>
          <w:tcPr>
            <w:tcW w:w="11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68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jc w:val="right"/>
              <w:ind w:right="93"/>
              <w:spacing w:after="0"/>
              <w:rPr>
                <w:sz w:val="20"/>
                <w:szCs w:val="20"/>
                <w:color w:val="auto"/>
              </w:rPr>
            </w:pPr>
            <w:r>
              <w:rPr>
                <w:rFonts w:ascii="Times New Roman" w:cs="Times New Roman" w:eastAsia="Times New Roman" w:hAnsi="Times New Roman"/>
                <w:sz w:val="18"/>
                <w:szCs w:val="18"/>
                <w:color w:val="auto"/>
              </w:rPr>
              <w:t>(14)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11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30"/>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Worldwide changes in unrecognized tax benefits</w:t>
            </w:r>
          </w:p>
        </w:tc>
        <w:tc>
          <w:tcPr>
            <w:tcW w:w="1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jc w:val="right"/>
              <w:ind w:right="93"/>
              <w:spacing w:after="0"/>
              <w:rPr>
                <w:sz w:val="20"/>
                <w:szCs w:val="20"/>
                <w:color w:val="auto"/>
              </w:rPr>
            </w:pPr>
            <w:r>
              <w:rPr>
                <w:rFonts w:ascii="Times New Roman" w:cs="Times New Roman" w:eastAsia="Times New Roman" w:hAnsi="Times New Roman"/>
                <w:sz w:val="18"/>
                <w:szCs w:val="18"/>
                <w:color w:val="auto"/>
              </w:rPr>
              <w:t>10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3"/>
        </w:trPr>
        <w:tc>
          <w:tcPr>
            <w:tcW w:w="5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CCEEFF"/>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12,067</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75"/>
              </w:rPr>
              <w:t> </w:t>
            </w:r>
          </w:p>
        </w:tc>
        <w:tc>
          <w:tcPr>
            <w:tcW w:w="7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States taxes in Iowa, Tennesse, Indiana, California, Florida, and Texas represent greater than 50% of the tax expense effect in this category.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0240"/>
          </w:cols>
          <w:pgMar w:left="320" w:top="220" w:right="1339" w:bottom="910" w:gutter="0" w:footer="0" w:header="0"/>
        </w:sectPr>
      </w:pP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40"/>
          </w:cols>
          <w:pgMar w:left="320" w:top="220" w:right="1339" w:bottom="91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Temporary differences and net operating loss carryforwards that give rise to a significant portion of deferred tax assets and liabilities for 2025 and 2024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r>
      <w:tr>
        <w:trPr>
          <w:trHeight w:val="209"/>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Provisions not currently deductible</w:t>
            </w: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14,597</w:t>
            </w: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11,117</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basis differences</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1,492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40" w:type="dxa"/>
            <w:vAlign w:val="bottom"/>
            <w:shd w:val="clear" w:color="auto" w:fill="CCEEFF"/>
          </w:tcPr>
          <w:p>
            <w:pPr>
              <w:spacing w:after="0"/>
              <w:rPr>
                <w:sz w:val="18"/>
                <w:szCs w:val="18"/>
                <w:color w:val="auto"/>
              </w:rPr>
            </w:pPr>
          </w:p>
        </w:tc>
      </w:tr>
      <w:tr>
        <w:trPr>
          <w:trHeight w:val="216"/>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Pension and healthcare</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1,498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40" w:type="dxa"/>
            <w:vAlign w:val="bottom"/>
            <w:shd w:val="clear" w:color="auto" w:fill="CCEEFF"/>
          </w:tcPr>
          <w:p>
            <w:pPr>
              <w:spacing w:after="0"/>
              <w:rPr>
                <w:sz w:val="18"/>
                <w:szCs w:val="18"/>
                <w:color w:val="auto"/>
              </w:rPr>
            </w:pPr>
          </w:p>
        </w:tc>
      </w:tr>
      <w:tr>
        <w:trPr>
          <w:trHeight w:val="216"/>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21,312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16,360</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6,210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40" w:type="dxa"/>
            <w:vAlign w:val="bottom"/>
            <w:shd w:val="clear" w:color="auto" w:fill="CCEEFF"/>
          </w:tcPr>
          <w:p>
            <w:pPr>
              <w:spacing w:after="0"/>
              <w:rPr>
                <w:sz w:val="18"/>
                <w:szCs w:val="18"/>
                <w:color w:val="auto"/>
              </w:rPr>
            </w:pPr>
          </w:p>
        </w:tc>
      </w:tr>
      <w:tr>
        <w:trPr>
          <w:trHeight w:val="216"/>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 and other</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3,933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40" w:type="dxa"/>
            <w:vAlign w:val="bottom"/>
          </w:tcPr>
          <w:p>
            <w:pPr>
              <w:spacing w:after="0"/>
              <w:rPr>
                <w:sz w:val="18"/>
                <w:szCs w:val="18"/>
                <w:color w:val="auto"/>
              </w:rPr>
            </w:pPr>
          </w:p>
        </w:tc>
      </w:tr>
      <w:tr>
        <w:trPr>
          <w:trHeight w:val="229"/>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(27,752)</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w:t>
            </w:r>
          </w:p>
        </w:tc>
      </w:tr>
      <w:tr>
        <w:trPr>
          <w:trHeight w:val="263"/>
        </w:trPr>
        <w:tc>
          <w:tcPr>
            <w:tcW w:w="3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 tax asset</w:t>
            </w:r>
          </w:p>
        </w:tc>
        <w:tc>
          <w:tcPr>
            <w:tcW w:w="10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21,329</w:t>
            </w:r>
          </w:p>
        </w:tc>
        <w:tc>
          <w:tcPr>
            <w:tcW w:w="1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31,210</w:t>
            </w:r>
          </w:p>
        </w:tc>
        <w:tc>
          <w:tcPr>
            <w:tcW w:w="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r>
      <w:tr>
        <w:trPr>
          <w:trHeight w:val="197"/>
        </w:trPr>
        <w:tc>
          <w:tcPr>
            <w:tcW w:w="38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(4,006)</w:t>
            </w:r>
          </w:p>
        </w:tc>
        <w:tc>
          <w:tcPr>
            <w:tcW w:w="2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(7,069)</w:t>
            </w:r>
          </w:p>
        </w:tc>
      </w:tr>
      <w:tr>
        <w:trPr>
          <w:trHeight w:val="216"/>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(3,928)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(4,061)</w:t>
            </w:r>
          </w:p>
        </w:tc>
      </w:tr>
      <w:tr>
        <w:trPr>
          <w:trHeight w:val="216"/>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assets</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(5,827)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w:t>
            </w:r>
          </w:p>
        </w:tc>
      </w:tr>
      <w:tr>
        <w:trPr>
          <w:trHeight w:val="229"/>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 and other</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(3,255)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(2,351)</w:t>
            </w: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liability</w:t>
            </w:r>
          </w:p>
        </w:tc>
        <w:tc>
          <w:tcPr>
            <w:tcW w:w="10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(17,016</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(17,538</w:t>
            </w:r>
          </w:p>
        </w:tc>
        <w:tc>
          <w:tcPr>
            <w:tcW w:w="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3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deferred tax asset (liability) is classified in the balance sheet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3940" w:type="dxa"/>
            <w:vAlign w:val="bottom"/>
          </w:tcPr>
          <w:p>
            <w:pPr>
              <w:spacing w:after="0"/>
              <w:rPr>
                <w:sz w:val="20"/>
                <w:szCs w:val="20"/>
                <w:color w:val="auto"/>
              </w:rPr>
            </w:pPr>
          </w:p>
        </w:tc>
      </w:tr>
      <w:tr>
        <w:trPr>
          <w:trHeight w:val="20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deferred tax assets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8"/>
              </w:rPr>
              <w:t>5,870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16,011</w:t>
            </w:r>
          </w:p>
        </w:tc>
        <w:tc>
          <w:tcPr>
            <w:tcW w:w="3940" w:type="dxa"/>
            <w:vAlign w:val="bottom"/>
          </w:tcPr>
          <w:p>
            <w:pPr>
              <w:spacing w:after="0"/>
              <w:rPr>
                <w:sz w:val="18"/>
                <w:szCs w:val="18"/>
                <w:color w:val="auto"/>
              </w:rPr>
            </w:pPr>
          </w:p>
        </w:tc>
      </w:tr>
      <w:tr>
        <w:trPr>
          <w:trHeight w:val="23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Non-current deferred tax liability</w:t>
            </w:r>
          </w:p>
        </w:tc>
        <w:tc>
          <w:tcPr>
            <w:tcW w:w="240" w:type="dxa"/>
            <w:vAlign w:val="bottom"/>
          </w:tcPr>
          <w:p>
            <w:pPr>
              <w:spacing w:after="0"/>
              <w:rPr>
                <w:sz w:val="19"/>
                <w:szCs w:val="19"/>
                <w:color w:val="auto"/>
              </w:rPr>
            </w:pPr>
          </w:p>
        </w:tc>
        <w:tc>
          <w:tcPr>
            <w:tcW w:w="10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8"/>
              </w:rPr>
              <w:t>(1,557)</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3940" w:type="dxa"/>
            <w:vAlign w:val="bottom"/>
          </w:tcPr>
          <w:p>
            <w:pPr>
              <w:spacing w:after="0"/>
              <w:rPr>
                <w:sz w:val="19"/>
                <w:szCs w:val="19"/>
                <w:color w:val="auto"/>
              </w:rPr>
            </w:pPr>
          </w:p>
        </w:tc>
      </w:tr>
      <w:tr>
        <w:trPr>
          <w:trHeight w:val="223"/>
        </w:trPr>
        <w:tc>
          <w:tcPr>
            <w:tcW w:w="4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deferred tax assets, net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8"/>
              </w:rPr>
              <w:t>4,313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13,672</w:t>
            </w:r>
          </w:p>
        </w:tc>
        <w:tc>
          <w:tcPr>
            <w:tcW w:w="3940" w:type="dxa"/>
            <w:vAlign w:val="bottom"/>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655"/>
        </w:trPr>
        <w:tc>
          <w:tcPr>
            <w:tcW w:w="4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 by jurisdiction above 5% for 2025 is as follows: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6"/>
        </w:trPr>
        <w:tc>
          <w:tcPr>
            <w:tcW w:w="69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r>
      <w:tr>
        <w:trPr>
          <w:trHeight w:val="209"/>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 federal</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shd w:val="clear" w:color="auto" w:fill="CCEEFF"/>
          </w:tcPr>
          <w:p>
            <w:pPr>
              <w:spacing w:after="0"/>
              <w:rPr>
                <w:sz w:val="18"/>
                <w:szCs w:val="18"/>
                <w:color w:val="auto"/>
              </w:rPr>
            </w:pPr>
          </w:p>
        </w:tc>
      </w:tr>
      <w:tr>
        <w:trPr>
          <w:trHeight w:val="229"/>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state and local</w:t>
            </w:r>
          </w:p>
        </w:tc>
        <w:tc>
          <w:tcPr>
            <w:tcW w:w="320" w:type="dxa"/>
            <w:vAlign w:val="bottom"/>
          </w:tcPr>
          <w:p>
            <w:pPr>
              <w:spacing w:after="0"/>
              <w:rPr>
                <w:sz w:val="19"/>
                <w:szCs w:val="19"/>
                <w:color w:val="auto"/>
              </w:rPr>
            </w:pP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9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Brazil</w:t>
            </w:r>
          </w:p>
        </w:tc>
        <w:tc>
          <w:tcPr>
            <w:tcW w:w="3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France</w:t>
            </w:r>
          </w:p>
        </w:tc>
        <w:tc>
          <w:tcPr>
            <w:tcW w:w="32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Germany</w:t>
            </w:r>
          </w:p>
        </w:tc>
        <w:tc>
          <w:tcPr>
            <w:tcW w:w="3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Italy</w:t>
            </w:r>
          </w:p>
        </w:tc>
        <w:tc>
          <w:tcPr>
            <w:tcW w:w="32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480</w:t>
            </w:r>
          </w:p>
        </w:tc>
      </w:tr>
      <w:tr>
        <w:trPr>
          <w:trHeight w:val="216"/>
        </w:trPr>
        <w:tc>
          <w:tcPr>
            <w:tcW w:w="6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Poland</w:t>
            </w:r>
          </w:p>
        </w:tc>
        <w:tc>
          <w:tcPr>
            <w:tcW w:w="3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Mexico</w:t>
            </w:r>
          </w:p>
        </w:tc>
        <w:tc>
          <w:tcPr>
            <w:tcW w:w="32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384</w:t>
            </w:r>
          </w:p>
        </w:tc>
      </w:tr>
      <w:tr>
        <w:trPr>
          <w:trHeight w:val="216"/>
        </w:trPr>
        <w:tc>
          <w:tcPr>
            <w:tcW w:w="6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Philippines</w:t>
            </w:r>
          </w:p>
        </w:tc>
        <w:tc>
          <w:tcPr>
            <w:tcW w:w="3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446</w:t>
            </w:r>
          </w:p>
        </w:tc>
      </w:tr>
      <w:tr>
        <w:trPr>
          <w:trHeight w:val="230"/>
        </w:trPr>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139</w:t>
            </w:r>
          </w:p>
        </w:tc>
      </w:tr>
      <w:tr>
        <w:trPr>
          <w:trHeight w:val="209"/>
        </w:trPr>
        <w:tc>
          <w:tcPr>
            <w:tcW w:w="69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amount of income taxes paid during the year does not meet the 5% disaggregation threshold.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we have not provided taxes on approximately $82,740 of undistributed earnings in foreign subsidiaries which are deemed to be indefinitely reinvested. If at some future date these earnings cease to be permanently reinvested, we may be subject to foreign income and withholding taxes upon repatriation of such amounts. An estimate of the tax liability that would be incurred upon repatriation of foreign earnings is not practicable to determine.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valuation allowance is provided when it is more likely than not that some portion or all of the net deferred tax assets will not be realized. Management believes that is more likely than not that its net deferred tax assets will be realized based on the weight of positive evidence and future income except with respect to the loss in Brazil and the deferrred tax assets in the US.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 valuation allowance in the U.S. at December 31, 2025 and 2024 of $19,349 and $572, respectively. The Company has a valuation allowance for Viskase Brazil at December 31, 2025 and 2024 of $7,514 and $7,852, respectively. The Company has gross U.S. federal net operating loss carryforwards at December 31, 2025 and 2024 of $48,892 and $40,326, respectively, with amounts beginning to expire in 2026. The Company has gross net operating loss carryforwards in Brazil at December 31, 2025 and 2024 of $8,882 and $6,309, respectively and has an unlimited carryforward period. The Company has gross net operating loss carryforwards in France at December 31, 2025 and 2024 of $4,800 and $1,906, respectively and has an unlimited carryforward period. The Company has gross net operating loss carryforwards in Viskase Germany at December 31, 2025 and 2024 of $6,915 and $5,434 for Trade Tax and Income Tax. Germany has an unlimited carryforward period on Trade Tax and Income Tax. The Company has gross net operating loss carryforwards in CT Casings Germany at December 31, 2025 and 2024 of $13,893 and $894 for Trade Tax and Income Tax. Germany has an unlimited carryforward period on Trade Tax and Income Tax. The Company also has SEZ Credits in Poland at December 31, 2025 and 2024 of $1,514 and $2,418 respectively. The SEZ Credits are scheduled to expire at the end of December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Following the Equity Private Placement, Icahn Enterprises L.P. (“IELP”) became the beneficial owner of more than 80% of the shares of our common stock and the Company became a member of the consolidated group of a corporate subsidiary of Icahn Enterprises for U.S. federal income tax purposes (the “IEP Corporate Subsidiary”). As a result, the IEP Corporate Subsidiary and the Company entered into a tax allocation agreement for the allocation of certain income tax items. The Company and its subsidiaries consented to join the IEP Corporate Subsidiary’s federal consolidated return and, if elected by the IEP Corporate Subsidiary, certain state consolidated returns. See Note 15 – </w:t>
      </w:r>
      <w:r>
        <w:rPr>
          <w:rFonts w:ascii="Times New Roman" w:cs="Times New Roman" w:eastAsia="Times New Roman" w:hAnsi="Times New Roman"/>
          <w:sz w:val="18"/>
          <w:szCs w:val="18"/>
          <w:i w:val="1"/>
          <w:iCs w:val="1"/>
          <w:color w:val="auto"/>
        </w:rPr>
        <w:t>Related-Party Transactions</w:t>
      </w:r>
      <w:r>
        <w:rPr>
          <w:rFonts w:ascii="Times New Roman" w:cs="Times New Roman" w:eastAsia="Times New Roman" w:hAnsi="Times New Roman"/>
          <w:sz w:val="18"/>
          <w:szCs w:val="18"/>
          <w:color w:val="auto"/>
        </w:rPr>
        <w:t xml:space="preserve"> for details.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Uncertainty in Income Taxes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uncertain tax positions as of December 31, 2025 and 2024 totaled $0 and $7,456, respectively. The following table summarizes the activity related to the unrecognized tax benefits.</w:t>
      </w:r>
    </w:p>
    <w:p>
      <w:pPr>
        <w:spacing w:after="0" w:line="175" w:lineRule="exact"/>
        <w:rPr>
          <w:sz w:val="20"/>
          <w:szCs w:val="20"/>
          <w:color w:val="auto"/>
        </w:rPr>
      </w:pPr>
    </w:p>
    <w:tbl>
      <w:tblPr>
        <w:tblLayout w:type="fixed"/>
        <w:tblInd w:w="1420" w:type="dxa"/>
        <w:tblCellMar>
          <w:top w:w="0" w:type="dxa"/>
          <w:left w:w="0" w:type="dxa"/>
          <w:bottom w:w="0" w:type="dxa"/>
          <w:right w:w="0" w:type="dxa"/>
        </w:tblCellMar>
      </w:tblPr>
      <w:tr>
        <w:trPr>
          <w:trHeight w:val="234"/>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6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as of January 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Increases in positions taken in a prior period</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Decreases in positions taken in a prior period</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Decreases de to settlements</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Increases due to currency translation</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Increases due to currency translation</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r>
      <w:tr>
        <w:trPr>
          <w:trHeight w:val="230"/>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Decreases due to lapse of statute of limitations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(1,576)</w:t>
            </w:r>
          </w:p>
        </w:tc>
      </w:tr>
      <w:tr>
        <w:trPr>
          <w:trHeight w:val="223"/>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Unrecognized tax benefits as of December 31</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8,106</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 the Company recognized an approximate net increase of $650 to the reserves for uncertain tax positions.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Approximately $8,106 of the total gross unrecognized tax benefits represents the amount that, if recognized, would affect the effective income tax rate in future periods. The Company and its subsidiaries are subject to U.S. federal income tax as well as income tax of multiple state and foreign jurisdictions. The statute of limitations varies across jurisdictions, typically ranging from 3 to 6 years. The Company evaluates tax positions and establishes liabilities for uncertain tax positions that may be challenged by local authorities and may not be fully sustained, despite our belief that the underlying tax positions are fully supportable. Uncertain tax positions are reviewed on an ongoing basis and are adjusted considering changing facts and circumstances, including progress of tax audits, developments in case law and the closing of statutes of limitations. Such adjustments are reflected in the tax provision as appropriate.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substantially concluded all U.S. federal income tax matters for years through 2016. Substantially all material state and local and foreign income tax matters have been concluded for years through 2013. Based on the expiration of the statute of limitations for certain jurisdictions, we do not expect any amounts of unrecognized tax benefits to be released in the next twelve months.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continuing practice is to recognize interest and/or penalties related to income tax matters in income tax expense. During the years ended December 31, 2025 and 2024, the Company recorded adjustments for interest of $0 and ($3,751), respectively, and for penalties of $10 and $10, respectively, related to these unrecognized tax benefits. In total, as of December 31, 2025 and 2024, the Company has recorded a liability of interest of $23 and $23, respectively, and $187 and $177, respectively, for potential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12. Goodwill and Intangible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two reporting units with a goodwill balance, U.S and EMEA and which roll into two reportable operating segments, North America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EMEA. The changes in the carrying amount of goodwill during the years ended December 31, 2025, and 2024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North America</w:t>
            </w:r>
          </w:p>
        </w:tc>
        <w:tc>
          <w:tcPr>
            <w:tcW w:w="22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EMEA</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23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9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2,758</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3,207</w:t>
            </w:r>
          </w:p>
        </w:tc>
      </w:tr>
      <w:tr>
        <w:trPr>
          <w:trHeight w:val="229"/>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Translation</w:t>
            </w:r>
          </w:p>
        </w:tc>
        <w:tc>
          <w:tcPr>
            <w:tcW w:w="23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3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20" w:type="dxa"/>
            <w:vAlign w:val="bottom"/>
          </w:tcPr>
          <w:p>
            <w:pPr>
              <w:spacing w:after="0"/>
              <w:rPr>
                <w:sz w:val="18"/>
                <w:szCs w:val="18"/>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Translation</w:t>
            </w:r>
          </w:p>
        </w:tc>
        <w:tc>
          <w:tcPr>
            <w:tcW w:w="2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(330)</w:t>
            </w:r>
          </w:p>
        </w:tc>
      </w:tr>
      <w:tr>
        <w:trPr>
          <w:trHeight w:val="229"/>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w:t>
            </w:r>
          </w:p>
        </w:tc>
        <w:tc>
          <w:tcPr>
            <w:tcW w:w="2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r>
      <w:tr>
        <w:trPr>
          <w:trHeight w:val="209"/>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3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Translation</w:t>
            </w:r>
          </w:p>
        </w:tc>
        <w:tc>
          <w:tcPr>
            <w:tcW w:w="2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w:t>
            </w:r>
          </w:p>
        </w:tc>
      </w:tr>
      <w:tr>
        <w:trPr>
          <w:trHeight w:val="223"/>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38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year ended December 31, 2024, the Company decided to wind down operations in its Swiecie, Poland manufacturing facility as part of its 2024 Restructuring Plan (see Note 22 –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Upon the closing of the plant, the Company reviewed the goodwill balance of its EMEA reporting unit, and concluded that it was impaired, and estimated the impairment to be $330 based on the facts and circumstances of the EMEA reporting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 consists of the following:</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6"/>
        </w:trPr>
        <w:tc>
          <w:tcPr>
            <w:tcW w:w="5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8"/>
          </w:tcPr>
          <w:p>
            <w:pPr>
              <w:jc w:val="right"/>
              <w:ind w:right="4"/>
              <w:spacing w:after="0"/>
              <w:rPr>
                <w:sz w:val="20"/>
                <w:szCs w:val="20"/>
                <w:color w:val="auto"/>
              </w:rPr>
            </w:pPr>
            <w:r>
              <w:rPr>
                <w:rFonts w:ascii="Times New Roman" w:cs="Times New Roman" w:eastAsia="Times New Roman" w:hAnsi="Times New Roman"/>
                <w:sz w:val="18"/>
                <w:szCs w:val="18"/>
                <w:color w:val="auto"/>
              </w:rPr>
              <w:t>December 31, 2025</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1"/>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Net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Carrying</w:t>
            </w:r>
          </w:p>
        </w:tc>
        <w:tc>
          <w:tcPr>
            <w:tcW w:w="8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Accumulated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Carrying</w:t>
            </w:r>
          </w:p>
        </w:tc>
      </w:tr>
      <w:tr>
        <w:trPr>
          <w:trHeight w:val="234"/>
        </w:trPr>
        <w:tc>
          <w:tcPr>
            <w:tcW w:w="5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Value</w:t>
            </w:r>
          </w:p>
        </w:tc>
        <w:tc>
          <w:tcPr>
            <w:tcW w:w="80" w:type="dxa"/>
            <w:vAlign w:val="bottom"/>
          </w:tcPr>
          <w:p>
            <w:pPr>
              <w:spacing w:after="0"/>
              <w:rPr>
                <w:sz w:val="20"/>
                <w:szCs w:val="20"/>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Definite live intangible assets:</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17,334</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(7,181)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10,153</w:t>
            </w:r>
          </w:p>
        </w:tc>
        <w:tc>
          <w:tcPr>
            <w:tcW w:w="60" w:type="dxa"/>
            <w:vAlign w:val="bottom"/>
          </w:tcPr>
          <w:p>
            <w:pPr>
              <w:spacing w:after="0"/>
              <w:rPr>
                <w:sz w:val="18"/>
                <w:szCs w:val="18"/>
                <w:color w:val="auto"/>
              </w:rPr>
            </w:pPr>
          </w:p>
        </w:tc>
      </w:tr>
      <w:tr>
        <w:trPr>
          <w:trHeight w:val="216"/>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Technologies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2,033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1,109</w:t>
            </w:r>
          </w:p>
        </w:tc>
        <w:tc>
          <w:tcPr>
            <w:tcW w:w="60" w:type="dxa"/>
            <w:vAlign w:val="bottom"/>
            <w:shd w:val="clear" w:color="auto" w:fill="CCEEFF"/>
          </w:tcPr>
          <w:p>
            <w:pPr>
              <w:spacing w:after="0"/>
              <w:rPr>
                <w:sz w:val="18"/>
                <w:szCs w:val="18"/>
                <w:color w:val="auto"/>
              </w:rPr>
            </w:pPr>
          </w:p>
        </w:tc>
      </w:tr>
      <w:tr>
        <w:trPr>
          <w:trHeight w:val="216"/>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Patents/Trademarks</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2,058</w:t>
            </w:r>
          </w:p>
        </w:tc>
        <w:tc>
          <w:tcPr>
            <w:tcW w:w="60" w:type="dxa"/>
            <w:vAlign w:val="bottom"/>
          </w:tcPr>
          <w:p>
            <w:pPr>
              <w:spacing w:after="0"/>
              <w:rPr>
                <w:sz w:val="18"/>
                <w:szCs w:val="18"/>
                <w:color w:val="auto"/>
              </w:rPr>
            </w:pPr>
          </w:p>
        </w:tc>
      </w:tr>
      <w:tr>
        <w:trPr>
          <w:trHeight w:val="230"/>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In-place leases</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shd w:val="clear" w:color="auto" w:fill="CCEEFF"/>
          </w:tcPr>
          <w:p>
            <w:pPr>
              <w:spacing w:after="0"/>
              <w:rPr>
                <w:sz w:val="19"/>
                <w:szCs w:val="19"/>
                <w:color w:val="auto"/>
              </w:rPr>
            </w:pPr>
          </w:p>
        </w:tc>
      </w:tr>
      <w:tr>
        <w:trPr>
          <w:trHeight w:val="223"/>
        </w:trPr>
        <w:tc>
          <w:tcPr>
            <w:tcW w:w="5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(15,350</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5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8"/>
          </w:tcPr>
          <w:p>
            <w:pPr>
              <w:jc w:val="right"/>
              <w:ind w:right="4"/>
              <w:spacing w:after="0"/>
              <w:rPr>
                <w:sz w:val="20"/>
                <w:szCs w:val="20"/>
                <w:color w:val="auto"/>
              </w:rPr>
            </w:pPr>
            <w:r>
              <w:rPr>
                <w:rFonts w:ascii="Times New Roman" w:cs="Times New Roman" w:eastAsia="Times New Roman" w:hAnsi="Times New Roman"/>
                <w:sz w:val="18"/>
                <w:szCs w:val="18"/>
                <w:color w:val="auto"/>
              </w:rPr>
              <w:t>December 31, 2024</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1"/>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Net</w:t>
            </w:r>
          </w:p>
        </w:tc>
        <w:tc>
          <w:tcPr>
            <w:tcW w:w="80" w:type="dxa"/>
            <w:vAlign w:val="bottom"/>
            <w:gridSpan w:val="2"/>
          </w:tcPr>
          <w:p>
            <w:pPr>
              <w:spacing w:after="0"/>
              <w:rPr>
                <w:sz w:val="16"/>
                <w:szCs w:val="16"/>
                <w:color w:val="auto"/>
              </w:rPr>
            </w:pPr>
          </w:p>
        </w:tc>
      </w:tr>
      <w:tr>
        <w:trPr>
          <w:trHeight w:val="216"/>
        </w:trPr>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Carrying</w:t>
            </w:r>
          </w:p>
        </w:tc>
        <w:tc>
          <w:tcPr>
            <w:tcW w:w="8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Accumulated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Carrying</w:t>
            </w:r>
          </w:p>
        </w:tc>
      </w:tr>
      <w:tr>
        <w:trPr>
          <w:trHeight w:val="234"/>
        </w:trPr>
        <w:tc>
          <w:tcPr>
            <w:tcW w:w="5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Value</w:t>
            </w:r>
          </w:p>
        </w:tc>
        <w:tc>
          <w:tcPr>
            <w:tcW w:w="80" w:type="dxa"/>
            <w:vAlign w:val="bottom"/>
          </w:tcPr>
          <w:p>
            <w:pPr>
              <w:spacing w:after="0"/>
              <w:rPr>
                <w:sz w:val="20"/>
                <w:szCs w:val="20"/>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Definite live intangible assets:</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18,222</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(7,879)</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10,343</w:t>
            </w:r>
          </w:p>
        </w:tc>
        <w:tc>
          <w:tcPr>
            <w:tcW w:w="60" w:type="dxa"/>
            <w:vAlign w:val="bottom"/>
          </w:tcPr>
          <w:p>
            <w:pPr>
              <w:spacing w:after="0"/>
              <w:rPr>
                <w:sz w:val="18"/>
                <w:szCs w:val="18"/>
                <w:color w:val="auto"/>
              </w:rPr>
            </w:pPr>
          </w:p>
        </w:tc>
      </w:tr>
      <w:tr>
        <w:trPr>
          <w:trHeight w:val="216"/>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Technologies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2,137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1,123</w:t>
            </w:r>
          </w:p>
        </w:tc>
        <w:tc>
          <w:tcPr>
            <w:tcW w:w="60" w:type="dxa"/>
            <w:vAlign w:val="bottom"/>
            <w:shd w:val="clear" w:color="auto" w:fill="CCEEFF"/>
          </w:tcPr>
          <w:p>
            <w:pPr>
              <w:spacing w:after="0"/>
              <w:rPr>
                <w:sz w:val="18"/>
                <w:szCs w:val="18"/>
                <w:color w:val="auto"/>
              </w:rPr>
            </w:pPr>
          </w:p>
        </w:tc>
      </w:tr>
      <w:tr>
        <w:trPr>
          <w:trHeight w:val="216"/>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Patents/Trademarks</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9,676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(7,842)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1,834</w:t>
            </w:r>
          </w:p>
        </w:tc>
        <w:tc>
          <w:tcPr>
            <w:tcW w:w="60" w:type="dxa"/>
            <w:vAlign w:val="bottom"/>
          </w:tcPr>
          <w:p>
            <w:pPr>
              <w:spacing w:after="0"/>
              <w:rPr>
                <w:sz w:val="18"/>
                <w:szCs w:val="18"/>
                <w:color w:val="auto"/>
              </w:rPr>
            </w:pPr>
          </w:p>
        </w:tc>
      </w:tr>
      <w:tr>
        <w:trPr>
          <w:trHeight w:val="230"/>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In-place leases</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shd w:val="clear" w:color="auto" w:fill="CCEEFF"/>
          </w:tcPr>
          <w:p>
            <w:pPr>
              <w:spacing w:after="0"/>
              <w:rPr>
                <w:sz w:val="19"/>
                <w:szCs w:val="19"/>
                <w:color w:val="auto"/>
              </w:rPr>
            </w:pPr>
          </w:p>
        </w:tc>
      </w:tr>
      <w:tr>
        <w:trPr>
          <w:trHeight w:val="223"/>
        </w:trPr>
        <w:tc>
          <w:tcPr>
            <w:tcW w:w="5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(16,843</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Amortization expense associated with definite-lived intangible assets was $ 1,556 , $1,609 and $1,606 for the years ended December 31, 2025, 2024 and 2023, respectively. We utilize the straight-line method of amortization, recognized over the estimated useful lives of the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future amortization expense for our definite-lived intangible assets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3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1,556</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1,556</w:t>
            </w: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1,556</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1,556</w:t>
            </w: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1,556</w:t>
            </w:r>
          </w:p>
        </w:tc>
      </w:t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Total thereafter</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5,621</w:t>
            </w:r>
          </w:p>
        </w:tc>
      </w:tr>
      <w:tr>
        <w:trPr>
          <w:trHeight w:val="223"/>
        </w:trPr>
        <w:tc>
          <w:tcPr>
            <w:tcW w:w="2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w:t>
            </w: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13,401</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from time to time is involved in various other legal proceedings, none of which are expected to have a material adverse effect upon results of operations, cash flows or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Research and Development Costs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totaled $2,814, $3,724 and $4,755 for the years ended December 31, 2025, 2024,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15. Related-Party Transactions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and December 31, 2024, Icahn Enterprises L.P. owned approximately 92.8% and 90.6% of our outstanding common stock,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Pension Liabilities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("PBGC") against the assets of each member of the controlled group.</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Equity Private Placement, IELP became the beneficial owner of more than 80% of the shares of our common stock and the Company became subject to the pension liabilities of all entities in which Mr. Icahn has a direct or indirect ownership interest of at least 80%. One such entity, ACF Industries LLC ("ACF"), is the sponsor of several pension plans.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31, 2025, the Executive Committee of ACF approved a resolution to terminate its qualified pension plans, which are frozen and no longer accrues benefits. As of December 31, 2024, the fair value of this plan's assets exceeded its benefit obligation. The termination of the plan is effective January 31, 2025, is subject to the appropriate regulatory approvals, and is expected to be completed in fiscal year 2026 or early 2027. The ACF LLC ultimate settlement obligation will depend upon both the nature and timing of participant settlements and prevailing market conditions.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Equity Private Placement, the Company entered into an agreement with Icahn Enterprises Holdings L.P. pursuant to which Icahn Enterprises Holdings L.P. has agreed to indemnify us and our subsidiaries from losses resulting from any imposition of certain pension funding or termination liabilities that may be imposed on us and our subsidiaries or our assets as a result of being a member of the Icahn controlled group.</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contingent nature of potential exposure related to these affiliate pension obligations and the indemnification from Icahn Enterprises Holdings L.P., no liability has been recorded in the accompanying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Tax Allocation</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Following the Equity Private Placement, IELP became the beneficial owner of more than 80% of the shares of our common stock and the Company became a member of the consolidated group IEP Corporate Subsidiary for U.S. federal income tax purposes. As a result, the IEP Corporate Subsidiary and the Company entered into a tax allocation agreement for the allocation of certain income tax items. The Company and its subsidiaries consented to join the IEP Corporate Subsidiary’s federal consolidated return and, if elected by the IEP Corporate Subsidiary, certain state consolidated returns. In those jurisdictions where the Company and its subsidiaries will file consolidated returns with the IEP Corporate Subsidiary, the Company will pay to the IEP Corporate Subsidiary any tax it would have owed had it and its subsidiaries continued to file as a separate consolidated group. To the extent that the IEP Corporate Subsidiary consolidated group is able to reduce its tax liability as a result of including the Company and its subsidiaries in its consolidated group, the IEP Corporate Subsidiary will pay the Company 20% of such reduction on a current basis and the Company will be treated as if it would carry forward for its own use under the tax allocation agreement, 80% of the items that caused the tax reduction (the “Excess Tax Benefits”). Moreover, if the Company and its subsidiaries should ever become deconsolidated from the IEP Corporate Subsidiary, the IEP Corporate Subsidiary will reimburse the Company for any tax liability in post-consolidation years that the Company and its subsidiaries would have avoided had they actually had the Excess Tax Benefits for their own consolidated group use. The cumulative payments to the Company by the IEP Corporate Subsidiary post-consolidation will not exceed the cumulative reductions in tax to the IEP Corporate Subsidiary group resulting from the use of the Excess Tax Benefits by the IEP Corporate Subsidiary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16. Business Segment Information and Geographic Area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defines operating segments as components of the organization for which discrete financial information is available and operating results are evaluated regularly by the Company’s chief executive officer, who is the Chief Operating Decision Maker (“CODM”), in order to assess performance and allocate resources. Characteristics of the Company which were relied upon in making the determination of reportable segments include the geographic region in which the Company operates and the information that is regularly reviewed by the CODM for the purpose of assessing performance and allocating resources.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operations are viewed in geographic regions of North America, South America, EMEA, and Asia which are the Company’s four reportable segments under ASC 280. The primary business of each of the geographic regions is manufacturing and selling cellulosic food casings. The Company’s casing products have similar characteristics and customers and share operations support functions such as sales, public relations, supply chain management, various research and development support, in addition to the general and administrative functions of human resources, legal, finance, and information technology. Revenue by product line is disclosed in Note 23.</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Operating Income, which is defined as profit or loss from operations before interest income, interest expense, other expense, net and income taxes, to assess the profitability of each segment. The Company’s reporting package does not include interest revenue, interest expense or income taxes allocated to individual segments and these items are not considered components of segment operating income. The CODM monitors actual Operating Income results relative to operating plan and forecast to assess the performance of the business and allocate resources.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assets regularly reviewed by the CODM are inclusive only of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results of the Company's segments: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2025</w:t>
            </w: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3"/>
          </w:tcPr>
          <w:p>
            <w:pPr>
              <w:jc w:val="right"/>
              <w:ind w:right="180"/>
              <w:spacing w:after="0" w:line="188" w:lineRule="exact"/>
              <w:rPr>
                <w:sz w:val="20"/>
                <w:szCs w:val="20"/>
                <w:color w:val="auto"/>
              </w:rPr>
            </w:pPr>
            <w:r>
              <w:rPr>
                <w:rFonts w:ascii="Times New Roman" w:cs="Times New Roman" w:eastAsia="Times New Roman" w:hAnsi="Times New Roman"/>
                <w:sz w:val="18"/>
                <w:szCs w:val="18"/>
                <w:b w:val="1"/>
                <w:bCs w:val="1"/>
                <w:color w:val="auto"/>
              </w:rPr>
              <w:t>Corporate and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100" w:type="dxa"/>
            <w:vAlign w:val="bottom"/>
          </w:tcPr>
          <w:p>
            <w:pPr>
              <w:spacing w:after="0"/>
              <w:rPr>
                <w:sz w:val="20"/>
                <w:szCs w:val="20"/>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EMEA</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Asia</w:t>
            </w:r>
          </w:p>
        </w:tc>
        <w:tc>
          <w:tcPr>
            <w:tcW w:w="10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from external customers</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143,153</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136,656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net sales</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22,992</w:t>
            </w:r>
          </w:p>
        </w:tc>
        <w:tc>
          <w:tcPr>
            <w:tcW w:w="3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47,046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6,058</w:t>
            </w:r>
          </w:p>
        </w:tc>
        <w:tc>
          <w:tcPr>
            <w:tcW w:w="10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76,223</w:t>
            </w:r>
          </w:p>
        </w:tc>
        <w:tc>
          <w:tcPr>
            <w:tcW w:w="0" w:type="dxa"/>
            <w:vAlign w:val="bottom"/>
          </w:tcPr>
          <w:p>
            <w:pPr>
              <w:spacing w:after="0"/>
              <w:rPr>
                <w:sz w:val="1"/>
                <w:szCs w:val="1"/>
                <w:color w:val="auto"/>
              </w:rPr>
            </w:pPr>
          </w:p>
        </w:tc>
      </w:tr>
      <w:tr>
        <w:trPr>
          <w:trHeight w:val="209"/>
        </w:trPr>
        <w:tc>
          <w:tcPr>
            <w:tcW w:w="2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166,145</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183,702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revenue</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Elimination of intersegment sales</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(76,223)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(76,223)</w:t>
            </w: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net sales</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(152,764)</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(40,275)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(168,383)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(42,403)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76,223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(327,602)</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(4,569)</w:t>
            </w:r>
          </w:p>
        </w:tc>
        <w:tc>
          <w:tcPr>
            <w:tcW w:w="3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(3,768)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(9,842)</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(24,877)</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(1,981)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(11,831)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(39,346)</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(2,129)</w:t>
            </w:r>
          </w:p>
        </w:tc>
        <w:tc>
          <w:tcPr>
            <w:tcW w:w="3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(2,813)</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(1,442)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charge</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(15,159)</w:t>
            </w:r>
          </w:p>
        </w:tc>
        <w:tc>
          <w:tcPr>
            <w:tcW w:w="3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(15,159)</w:t>
            </w: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Restructuring expense and related</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(8,428)</w:t>
            </w:r>
          </w:p>
        </w:tc>
        <w:tc>
          <w:tcPr>
            <w:tcW w:w="3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(8,554)</w:t>
            </w:r>
          </w:p>
        </w:tc>
        <w:tc>
          <w:tcPr>
            <w:tcW w:w="0" w:type="dxa"/>
            <w:vAlign w:val="bottom"/>
          </w:tcPr>
          <w:p>
            <w:pPr>
              <w:spacing w:after="0"/>
              <w:rPr>
                <w:sz w:val="1"/>
                <w:szCs w:val="1"/>
                <w:color w:val="auto"/>
              </w:rPr>
            </w:pPr>
          </w:p>
        </w:tc>
      </w:tr>
      <w:tr>
        <w:trPr>
          <w:trHeight w:val="210"/>
        </w:trPr>
        <w:tc>
          <w:tcPr>
            <w:tcW w:w="2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(41,887)</w:t>
            </w:r>
          </w:p>
        </w:tc>
        <w:tc>
          <w:tcPr>
            <w:tcW w:w="2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9,275</w:t>
            </w:r>
          </w:p>
        </w:tc>
        <w:tc>
          <w:tcPr>
            <w:tcW w:w="3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425</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9,698</w:t>
            </w: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w:t>
            </w:r>
          </w:p>
        </w:tc>
        <w:tc>
          <w:tcPr>
            <w:tcW w:w="3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540" w:type="dxa"/>
            <w:vAlign w:val="bottom"/>
            <w:shd w:val="clear" w:color="auto" w:fill="CCEEFF"/>
          </w:tcPr>
          <w:p>
            <w:pPr>
              <w:ind w:left="180"/>
              <w:spacing w:after="0" w:line="177" w:lineRule="exact"/>
              <w:rPr>
                <w:sz w:val="20"/>
                <w:szCs w:val="20"/>
                <w:color w:val="auto"/>
              </w:rPr>
            </w:pPr>
            <w:r>
              <w:rPr>
                <w:rFonts w:ascii="Times New Roman" w:cs="Times New Roman" w:eastAsia="Times New Roman" w:hAnsi="Times New Roman"/>
                <w:sz w:val="18"/>
                <w:szCs w:val="18"/>
                <w:color w:val="auto"/>
              </w:rPr>
              <w:t>Net (loss) income before</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(28,733)</w:t>
            </w: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(57,717)</w:t>
            </w:r>
          </w:p>
        </w:tc>
        <w:tc>
          <w:tcPr>
            <w:tcW w:w="3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(8,928)</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2024</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3"/>
          </w:tcPr>
          <w:p>
            <w:pPr>
              <w:jc w:val="right"/>
              <w:ind w:right="180"/>
              <w:spacing w:after="0" w:line="188" w:lineRule="exact"/>
              <w:rPr>
                <w:sz w:val="20"/>
                <w:szCs w:val="20"/>
                <w:color w:val="auto"/>
              </w:rPr>
            </w:pPr>
            <w:r>
              <w:rPr>
                <w:rFonts w:ascii="Times New Roman" w:cs="Times New Roman" w:eastAsia="Times New Roman" w:hAnsi="Times New Roman"/>
                <w:sz w:val="18"/>
                <w:szCs w:val="18"/>
                <w:b w:val="1"/>
                <w:bCs w:val="1"/>
                <w:color w:val="auto"/>
              </w:rPr>
              <w:t>Corporate and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100" w:type="dxa"/>
            <w:vAlign w:val="bottom"/>
          </w:tcPr>
          <w:p>
            <w:pPr>
              <w:spacing w:after="0"/>
              <w:rPr>
                <w:sz w:val="20"/>
                <w:szCs w:val="20"/>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EMEA</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Asia</w:t>
            </w:r>
          </w:p>
        </w:tc>
        <w:tc>
          <w:tcPr>
            <w:tcW w:w="240" w:type="dxa"/>
            <w:vAlign w:val="bottom"/>
          </w:tcPr>
          <w:p>
            <w:pPr>
              <w:spacing w:after="0"/>
              <w:rPr>
                <w:sz w:val="20"/>
                <w:szCs w:val="20"/>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from external customers</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176,469</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128,978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net sales</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29,451</w:t>
            </w:r>
          </w:p>
        </w:tc>
        <w:tc>
          <w:tcPr>
            <w:tcW w:w="3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46,249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75,830</w:t>
            </w: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205,920</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175,227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revenue</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Elimination of intersegment sales</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(75,830)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(75,830)</w:t>
            </w: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net sales</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(180,126)</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(42,988)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(146,850)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(42,554)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76,573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(335,945)</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(4,254)</w:t>
            </w:r>
          </w:p>
        </w:tc>
        <w:tc>
          <w:tcPr>
            <w:tcW w:w="3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(5,260)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(323)</w:t>
            </w: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(11,326)</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(18,132)</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(33,371)</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(3,125)</w:t>
            </w:r>
          </w:p>
        </w:tc>
        <w:tc>
          <w:tcPr>
            <w:tcW w:w="3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(3,724)</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(1,609)</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charge</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w:t>
            </w:r>
          </w:p>
        </w:tc>
        <w:tc>
          <w:tcPr>
            <w:tcW w:w="3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Restructuring expense and related</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(1,917)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(1,917)</w:t>
            </w:r>
          </w:p>
        </w:tc>
        <w:tc>
          <w:tcPr>
            <w:tcW w:w="0" w:type="dxa"/>
            <w:vAlign w:val="bottom"/>
          </w:tcPr>
          <w:p>
            <w:pPr>
              <w:spacing w:after="0"/>
              <w:rPr>
                <w:sz w:val="1"/>
                <w:szCs w:val="1"/>
                <w:color w:val="auto"/>
              </w:rPr>
            </w:pPr>
          </w:p>
        </w:tc>
      </w:tr>
      <w:tr>
        <w:trPr>
          <w:trHeight w:val="209"/>
        </w:trPr>
        <w:tc>
          <w:tcPr>
            <w:tcW w:w="2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80" w:type="dxa"/>
            <w:vAlign w:val="bottom"/>
          </w:tcPr>
          <w:p>
            <w:pPr>
              <w:spacing w:after="0"/>
              <w:rPr>
                <w:sz w:val="18"/>
                <w:szCs w:val="18"/>
                <w:color w:val="auto"/>
              </w:rPr>
            </w:pPr>
          </w:p>
        </w:tc>
        <w:tc>
          <w:tcPr>
            <w:tcW w:w="3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tcPr>
          <w:p>
            <w:pPr>
              <w:spacing w:after="0"/>
              <w:rPr>
                <w:sz w:val="18"/>
                <w:szCs w:val="18"/>
                <w:color w:val="auto"/>
              </w:rPr>
            </w:pPr>
          </w:p>
        </w:tc>
        <w:tc>
          <w:tcPr>
            <w:tcW w:w="38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220" w:type="dxa"/>
            <w:vAlign w:val="bottom"/>
          </w:tcPr>
          <w:p>
            <w:pPr>
              <w:spacing w:after="0"/>
              <w:rPr>
                <w:sz w:val="18"/>
                <w:szCs w:val="18"/>
                <w:color w:val="auto"/>
              </w:rPr>
            </w:pPr>
          </w:p>
        </w:tc>
        <w:tc>
          <w:tcPr>
            <w:tcW w:w="24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(11,032)</w:t>
            </w:r>
          </w:p>
        </w:tc>
        <w:tc>
          <w:tcPr>
            <w:tcW w:w="0" w:type="dxa"/>
            <w:vAlign w:val="bottom"/>
          </w:tcPr>
          <w:p>
            <w:pPr>
              <w:spacing w:after="0"/>
              <w:rPr>
                <w:sz w:val="1"/>
                <w:szCs w:val="1"/>
                <w:color w:val="auto"/>
              </w:rPr>
            </w:pPr>
          </w:p>
        </w:tc>
      </w:tr>
      <w:tr>
        <w:trPr>
          <w:trHeight w:val="229"/>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(10,532)</w:t>
            </w:r>
          </w:p>
        </w:tc>
        <w:tc>
          <w:tcPr>
            <w:tcW w:w="0" w:type="dxa"/>
            <w:vAlign w:val="bottom"/>
          </w:tcPr>
          <w:p>
            <w:pPr>
              <w:spacing w:after="0"/>
              <w:rPr>
                <w:sz w:val="1"/>
                <w:szCs w:val="1"/>
                <w:color w:val="auto"/>
              </w:rPr>
            </w:pPr>
          </w:p>
        </w:tc>
      </w:tr>
      <w:tr>
        <w:trPr>
          <w:trHeight w:val="20"/>
        </w:trPr>
        <w:tc>
          <w:tcPr>
            <w:tcW w:w="2540" w:type="dxa"/>
            <w:vAlign w:val="bottom"/>
            <w:vMerge w:val="restart"/>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(loss) income before</w:t>
            </w: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(6,129</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248"/>
        </w:trPr>
        <w:tc>
          <w:tcPr>
            <w:tcW w:w="2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2023</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4"/>
          </w:tcPr>
          <w:p>
            <w:pPr>
              <w:jc w:val="center"/>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Corporate and</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100" w:type="dxa"/>
            <w:vAlign w:val="bottom"/>
          </w:tcPr>
          <w:p>
            <w:pPr>
              <w:spacing w:after="0"/>
              <w:rPr>
                <w:sz w:val="20"/>
                <w:szCs w:val="20"/>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EMEA</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Asia</w:t>
            </w:r>
          </w:p>
        </w:tc>
        <w:tc>
          <w:tcPr>
            <w:tcW w:w="240" w:type="dxa"/>
            <w:vAlign w:val="bottom"/>
          </w:tcPr>
          <w:p>
            <w:pPr>
              <w:spacing w:after="0"/>
              <w:rPr>
                <w:sz w:val="20"/>
                <w:szCs w:val="20"/>
                <w:color w:val="auto"/>
              </w:rPr>
            </w:pPr>
          </w:p>
        </w:tc>
        <w:tc>
          <w:tcPr>
            <w:tcW w:w="1300" w:type="dxa"/>
            <w:vAlign w:val="bottom"/>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r>
      <w:tr>
        <w:trPr>
          <w:trHeight w:val="209"/>
        </w:trPr>
        <w:tc>
          <w:tcPr>
            <w:tcW w:w="2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from external customers</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189,374</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157,413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net sales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32,719</w:t>
            </w:r>
          </w:p>
        </w:tc>
        <w:tc>
          <w:tcPr>
            <w:tcW w:w="3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44,216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128.00</w:t>
            </w: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77,101</w:t>
            </w:r>
          </w:p>
        </w:tc>
      </w:tr>
      <w:tr>
        <w:trPr>
          <w:trHeight w:val="209"/>
        </w:trPr>
        <w:tc>
          <w:tcPr>
            <w:tcW w:w="2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222,093</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201,629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revenue</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Elimination of intersegment sales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(77,101)</w:t>
            </w: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(77,101)</w:t>
            </w:r>
          </w:p>
        </w:tc>
      </w:tr>
      <w:tr>
        <w:trPr>
          <w:trHeight w:val="209"/>
        </w:trPr>
        <w:tc>
          <w:tcPr>
            <w:tcW w:w="2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net sales</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(182,160)</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(43,034)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(166,636)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(37,492)</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77,101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(352,221)</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(6,074)</w:t>
            </w:r>
          </w:p>
        </w:tc>
        <w:tc>
          <w:tcPr>
            <w:tcW w:w="3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w:t>
            </w: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(11,577)</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(23,908)</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(2,591)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(8,995)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(610)</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(36,104)</w:t>
            </w:r>
          </w:p>
        </w:tc>
      </w:tr>
      <w:tr>
        <w:trPr>
          <w:trHeight w:val="216"/>
        </w:trPr>
        <w:tc>
          <w:tcPr>
            <w:tcW w:w="2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(4,505)</w:t>
            </w:r>
          </w:p>
        </w:tc>
        <w:tc>
          <w:tcPr>
            <w:tcW w:w="38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(4,755)</w:t>
            </w:r>
          </w:p>
        </w:tc>
      </w:tr>
    </w:tbl>
    <w:p>
      <w:pPr>
        <w:sectPr>
          <w:pgSz w:w="11900" w:h="16900" w:orient="portrait"/>
          <w:cols w:equalWidth="0" w:num="1">
            <w:col w:w="11240"/>
          </w:cols>
          <w:pgMar w:left="320" w:top="904" w:right="339" w:bottom="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(1,506)</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(1,606)</w:t>
            </w: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charge</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(338)</w:t>
            </w:r>
          </w:p>
        </w:tc>
        <w:tc>
          <w:tcPr>
            <w:tcW w:w="4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w:t>
            </w:r>
          </w:p>
        </w:tc>
      </w:tr>
      <w:tr>
        <w:trPr>
          <w:trHeight w:val="198"/>
        </w:trPr>
        <w:tc>
          <w:tcPr>
            <w:tcW w:w="2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Restructuring expense and related</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80" w:type="dxa"/>
            <w:vAlign w:val="bottom"/>
          </w:tcPr>
          <w:p>
            <w:pPr>
              <w:spacing w:after="0"/>
              <w:rPr>
                <w:sz w:val="18"/>
                <w:szCs w:val="18"/>
                <w:color w:val="auto"/>
              </w:rPr>
            </w:pPr>
          </w:p>
        </w:tc>
        <w:tc>
          <w:tcPr>
            <w:tcW w:w="46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260" w:type="dxa"/>
            <w:vAlign w:val="bottom"/>
          </w:tcPr>
          <w:p>
            <w:pPr>
              <w:spacing w:after="0"/>
              <w:rPr>
                <w:sz w:val="18"/>
                <w:szCs w:val="18"/>
                <w:color w:val="auto"/>
              </w:rPr>
            </w:pPr>
          </w:p>
        </w:tc>
        <w:tc>
          <w:tcPr>
            <w:tcW w:w="46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200" w:type="dxa"/>
            <w:vAlign w:val="bottom"/>
          </w:tcPr>
          <w:p>
            <w:pPr>
              <w:spacing w:after="0"/>
              <w:rPr>
                <w:sz w:val="18"/>
                <w:szCs w:val="18"/>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20,597</w:t>
            </w:r>
          </w:p>
        </w:tc>
        <w:tc>
          <w:tcPr>
            <w:tcW w:w="220" w:type="dxa"/>
            <w:vAlign w:val="bottom"/>
          </w:tcPr>
          <w:p>
            <w:pPr>
              <w:spacing w:after="0"/>
              <w:rPr>
                <w:sz w:val="18"/>
                <w:szCs w:val="18"/>
                <w:color w:val="auto"/>
              </w:rPr>
            </w:pPr>
          </w:p>
        </w:tc>
        <w:tc>
          <w:tcPr>
            <w:tcW w:w="46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7,685</w:t>
            </w:r>
          </w:p>
        </w:tc>
        <w:tc>
          <w:tcPr>
            <w:tcW w:w="220" w:type="dxa"/>
            <w:vAlign w:val="bottom"/>
          </w:tcPr>
          <w:p>
            <w:pPr>
              <w:spacing w:after="0"/>
              <w:rPr>
                <w:sz w:val="18"/>
                <w:szCs w:val="18"/>
                <w:color w:val="auto"/>
              </w:rPr>
            </w:pPr>
          </w:p>
        </w:tc>
        <w:tc>
          <w:tcPr>
            <w:tcW w:w="620" w:type="dxa"/>
            <w:vAlign w:val="bottom"/>
            <w:tcBorders>
              <w:top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39,383</w:t>
            </w: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(12,018)</w:t>
            </w:r>
          </w:p>
        </w:tc>
      </w:tr>
      <w:tr>
        <w:trPr>
          <w:trHeight w:val="230"/>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(10,395)</w:t>
            </w:r>
          </w:p>
        </w:tc>
      </w:tr>
      <w:tr>
        <w:trPr>
          <w:trHeight w:val="178"/>
        </w:trPr>
        <w:tc>
          <w:tcPr>
            <w:tcW w:w="2540" w:type="dxa"/>
            <w:vAlign w:val="bottom"/>
            <w:tcBorders>
              <w:top w:val="single" w:sz="8" w:color="CCEEFF"/>
            </w:tcBorders>
            <w:shd w:val="clear" w:color="auto" w:fill="CCEEFF"/>
          </w:tcPr>
          <w:p>
            <w:pPr>
              <w:ind w:left="180"/>
              <w:spacing w:after="0" w:line="177" w:lineRule="exact"/>
              <w:rPr>
                <w:sz w:val="20"/>
                <w:szCs w:val="20"/>
                <w:color w:val="auto"/>
              </w:rPr>
            </w:pPr>
            <w:r>
              <w:rPr>
                <w:rFonts w:ascii="Times New Roman" w:cs="Times New Roman" w:eastAsia="Times New Roman" w:hAnsi="Times New Roman"/>
                <w:sz w:val="18"/>
                <w:szCs w:val="18"/>
                <w:color w:val="auto"/>
              </w:rPr>
              <w:t>Net income (loss) before</w:t>
            </w: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48"/>
        </w:trPr>
        <w:tc>
          <w:tcPr>
            <w:tcW w:w="2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16,970</w:t>
            </w:r>
          </w:p>
        </w:tc>
      </w:tr>
      <w:tr>
        <w:trPr>
          <w:trHeight w:val="668"/>
        </w:trPr>
        <w:tc>
          <w:tcPr>
            <w:tcW w:w="2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color w:val="auto"/>
        </w:rPr>
        <w:t>The following table reflects the Company’s inventory by segment: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34924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534924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34924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EMEA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Asia</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Consolidated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349240"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534924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r>
      <w:tr>
        <w:trPr>
          <w:trHeight w:val="191"/>
        </w:trPr>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30,678</w:t>
            </w:r>
          </w:p>
        </w:tc>
        <w:tc>
          <w:tcPr>
            <w:tcW w:w="16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42,977</w:t>
            </w:r>
          </w:p>
        </w:tc>
        <w:tc>
          <w:tcPr>
            <w:tcW w:w="20" w:type="dxa"/>
            <w:vAlign w:val="bottom"/>
          </w:tcPr>
          <w:p>
            <w:pPr>
              <w:spacing w:after="0"/>
              <w:rPr>
                <w:sz w:val="16"/>
                <w:szCs w:val="16"/>
                <w:color w:val="auto"/>
              </w:rPr>
            </w:pPr>
          </w:p>
        </w:tc>
      </w:tr>
      <w:tr>
        <w:trPr>
          <w:trHeight w:val="216"/>
        </w:trPr>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37,767</w:t>
            </w: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21,100</w:t>
            </w:r>
          </w:p>
        </w:tc>
      </w:tr>
      <w:tr>
        <w:trPr>
          <w:trHeight w:val="230"/>
        </w:trPr>
        <w:tc>
          <w:tcPr>
            <w:tcW w:w="1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19,160</w:t>
            </w:r>
          </w:p>
        </w:tc>
        <w:tc>
          <w:tcPr>
            <w:tcW w:w="1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29,657</w:t>
            </w:r>
          </w:p>
        </w:tc>
      </w:tr>
      <w:tr>
        <w:trPr>
          <w:trHeight w:val="234"/>
        </w:trPr>
        <w:tc>
          <w:tcPr>
            <w:tcW w:w="14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9,150</w:t>
            </w:r>
          </w:p>
        </w:tc>
        <w:tc>
          <w:tcPr>
            <w:tcW w:w="14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15,234</w:t>
            </w:r>
          </w:p>
        </w:tc>
      </w:tr>
      <w:tr>
        <w:trPr>
          <w:trHeight w:val="223"/>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96,755</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108,968</w:t>
            </w:r>
          </w:p>
        </w:tc>
        <w:tc>
          <w:tcPr>
            <w:tcW w:w="20" w:type="dxa"/>
            <w:vAlign w:val="bottom"/>
            <w:tcBorders>
              <w:top w:val="single" w:sz="8" w:color="auto"/>
              <w:bottom w:val="single" w:sz="8" w:color="auto"/>
            </w:tcBorders>
          </w:tcPr>
          <w:p>
            <w:pPr>
              <w:spacing w:after="0"/>
              <w:rPr>
                <w:sz w:val="19"/>
                <w:szCs w:val="19"/>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4780" w:space="540"/>
            <w:col w:w="5920"/>
          </w:cols>
          <w:pgMar w:left="320" w:top="904" w:right="339" w:bottom="1440" w:gutter="0" w:footer="0" w:header="0"/>
        </w:sectPr>
      </w:pPr>
    </w:p>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reflects the Company’s expenditure for long-lived assets by segment:</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6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7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w:t>
            </w: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South America</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890</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267</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5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4,642</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2,114</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4,211</w:t>
            </w:r>
          </w:p>
        </w:tc>
      </w:tr>
      <w:tr>
        <w:trPr>
          <w:trHeight w:val="230"/>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Asia</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r>
      <w:tr>
        <w:trPr>
          <w:trHeight w:val="223"/>
        </w:trPr>
        <w:tc>
          <w:tcPr>
            <w:tcW w:w="67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expenditure for long-lived assets</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attributed to the country based on the location of the end customer for the years ended December 31, 2025, 2024, and 2023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9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106,163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128,730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Philippines</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28,182</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27,706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27,312</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Italy</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29,126</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24,824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27,184</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23,390</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27,646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28,327</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13,576</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20,031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24,603</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16,774</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20,560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21,414</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17,823</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17,041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22,178</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14,002</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14,430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12,208</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15,680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12,872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14,021</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7,989</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8,253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10,007</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international</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91,651</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101,682</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123,028</w:t>
            </w:r>
          </w:p>
        </w:tc>
        <w:tc>
          <w:tcPr>
            <w:tcW w:w="80" w:type="dxa"/>
            <w:vAlign w:val="bottom"/>
            <w:shd w:val="clear" w:color="auto" w:fill="CCEEFF"/>
          </w:tcPr>
          <w:p>
            <w:pPr>
              <w:spacing w:after="0"/>
              <w:rPr>
                <w:sz w:val="19"/>
                <w:szCs w:val="19"/>
                <w:color w:val="auto"/>
              </w:rPr>
            </w:pPr>
          </w:p>
        </w:tc>
      </w:tr>
      <w:tr>
        <w:trPr>
          <w:trHeight w:val="223"/>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net sales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364,356</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403,775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445,984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long-lived assets by country, which includes property and equipment, net, operating lease right-of-use assets, net, and other assets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0" w:type="dxa"/>
            <w:vAlign w:val="bottom"/>
          </w:tcPr>
          <w:p>
            <w:pPr>
              <w:spacing w:after="0"/>
              <w:rPr>
                <w:sz w:val="18"/>
                <w:szCs w:val="18"/>
                <w:color w:val="auto"/>
              </w:rPr>
            </w:pPr>
          </w:p>
        </w:tc>
      </w:tr>
      <w:tr>
        <w:trPr>
          <w:trHeight w:val="238"/>
        </w:trPr>
        <w:tc>
          <w:tcPr>
            <w:tcW w:w="53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c>
          <w:tcPr>
            <w:tcW w:w="2800" w:type="dxa"/>
            <w:vAlign w:val="bottom"/>
          </w:tcPr>
          <w:p>
            <w:pPr>
              <w:spacing w:after="0"/>
              <w:rPr>
                <w:sz w:val="20"/>
                <w:szCs w:val="20"/>
                <w:color w:val="auto"/>
              </w:rPr>
            </w:pPr>
          </w:p>
        </w:tc>
      </w:tr>
      <w:tr>
        <w:trPr>
          <w:trHeight w:val="209"/>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76,849</w:t>
            </w:r>
          </w:p>
        </w:tc>
        <w:tc>
          <w:tcPr>
            <w:tcW w:w="80" w:type="dxa"/>
            <w:vAlign w:val="bottom"/>
            <w:shd w:val="clear" w:color="auto" w:fill="CCEEFF"/>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29,630</w:t>
            </w:r>
          </w:p>
        </w:tc>
        <w:tc>
          <w:tcPr>
            <w:tcW w:w="1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26,652</w:t>
            </w:r>
          </w:p>
        </w:tc>
        <w:tc>
          <w:tcPr>
            <w:tcW w:w="28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12,337</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14,477</w:t>
            </w:r>
          </w:p>
        </w:tc>
        <w:tc>
          <w:tcPr>
            <w:tcW w:w="280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11,671</w:t>
            </w:r>
          </w:p>
        </w:tc>
        <w:tc>
          <w:tcPr>
            <w:tcW w:w="1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11,809</w:t>
            </w:r>
          </w:p>
        </w:tc>
        <w:tc>
          <w:tcPr>
            <w:tcW w:w="28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Philippines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8,356</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9,740</w:t>
            </w:r>
          </w:p>
        </w:tc>
        <w:tc>
          <w:tcPr>
            <w:tcW w:w="2800" w:type="dxa"/>
            <w:vAlign w:val="bottom"/>
          </w:tcPr>
          <w:p>
            <w:pPr>
              <w:spacing w:after="0"/>
              <w:rPr>
                <w:sz w:val="18"/>
                <w:szCs w:val="18"/>
                <w:color w:val="auto"/>
              </w:rPr>
            </w:pPr>
          </w:p>
        </w:tc>
      </w:tr>
      <w:tr>
        <w:trPr>
          <w:trHeight w:val="22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 international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16,220</w:t>
            </w:r>
          </w:p>
        </w:tc>
        <w:tc>
          <w:tcPr>
            <w:tcW w:w="14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14,297</w:t>
            </w:r>
          </w:p>
        </w:tc>
        <w:tc>
          <w:tcPr>
            <w:tcW w:w="2800" w:type="dxa"/>
            <w:vAlign w:val="bottom"/>
          </w:tcPr>
          <w:p>
            <w:pPr>
              <w:spacing w:after="0"/>
              <w:rPr>
                <w:sz w:val="19"/>
                <w:szCs w:val="19"/>
                <w:color w:val="auto"/>
              </w:rPr>
            </w:pPr>
          </w:p>
        </w:tc>
      </w:tr>
      <w:tr>
        <w:trPr>
          <w:trHeight w:val="223"/>
        </w:trPr>
        <w:tc>
          <w:tcPr>
            <w:tcW w:w="53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long-lived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171,092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153,824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871"/>
        </w:trPr>
        <w:tc>
          <w:tcPr>
            <w:tcW w:w="5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 Interest Expense, Net</w:t>
            </w: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expense, net consists of the following:</w:t>
            </w: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December 31, 2025</w:t>
            </w:r>
          </w:p>
        </w:tc>
        <w:tc>
          <w:tcPr>
            <w:tcW w:w="140" w:type="dxa"/>
            <w:vAlign w:val="bottom"/>
          </w:tcPr>
          <w:p>
            <w:pPr>
              <w:spacing w:after="0"/>
              <w:rPr>
                <w:sz w:val="24"/>
                <w:szCs w:val="24"/>
                <w:color w:val="auto"/>
              </w:rPr>
            </w:pPr>
          </w:p>
        </w:tc>
        <w:tc>
          <w:tcPr>
            <w:tcW w:w="1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December 31, 2024</w:t>
            </w:r>
          </w:p>
        </w:tc>
        <w:tc>
          <w:tcPr>
            <w:tcW w:w="140" w:type="dxa"/>
            <w:vAlign w:val="bottom"/>
          </w:tcPr>
          <w:p>
            <w:pPr>
              <w:spacing w:after="0"/>
              <w:rPr>
                <w:sz w:val="24"/>
                <w:szCs w:val="24"/>
                <w:color w:val="auto"/>
              </w:rPr>
            </w:pP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Less Capitalized interest</w:t>
            </w:r>
          </w:p>
        </w:tc>
        <w:tc>
          <w:tcPr>
            <w:tcW w:w="140" w:type="dxa"/>
            <w:vAlign w:val="bottom"/>
          </w:tcPr>
          <w:p>
            <w:pPr>
              <w:spacing w:after="0"/>
              <w:rPr>
                <w:sz w:val="19"/>
                <w:szCs w:val="19"/>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(1,502)</w:t>
            </w:r>
          </w:p>
        </w:tc>
        <w:tc>
          <w:tcPr>
            <w:tcW w:w="140" w:type="dxa"/>
            <w:vAlign w:val="bottom"/>
          </w:tcPr>
          <w:p>
            <w:pPr>
              <w:spacing w:after="0"/>
              <w:rPr>
                <w:sz w:val="19"/>
                <w:szCs w:val="19"/>
                <w:color w:val="auto"/>
              </w:rPr>
            </w:pP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tcPr>
          <w:p>
            <w:pPr>
              <w:spacing w:after="0"/>
              <w:rPr>
                <w:sz w:val="19"/>
                <w:szCs w:val="19"/>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3"/>
        </w:trPr>
        <w:tc>
          <w:tcPr>
            <w:tcW w:w="4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18. Other Expense, Net</w:t>
            </w: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 consists of the following:</w:t>
            </w: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December 31, 2025</w:t>
            </w:r>
          </w:p>
        </w:tc>
        <w:tc>
          <w:tcPr>
            <w:tcW w:w="140" w:type="dxa"/>
            <w:vAlign w:val="bottom"/>
          </w:tcPr>
          <w:p>
            <w:pPr>
              <w:spacing w:after="0"/>
              <w:rPr>
                <w:sz w:val="24"/>
                <w:szCs w:val="24"/>
                <w:color w:val="auto"/>
              </w:rPr>
            </w:pPr>
          </w:p>
        </w:tc>
        <w:tc>
          <w:tcPr>
            <w:tcW w:w="1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December 31, 2024</w:t>
            </w:r>
          </w:p>
        </w:tc>
        <w:tc>
          <w:tcPr>
            <w:tcW w:w="140" w:type="dxa"/>
            <w:vAlign w:val="bottom"/>
          </w:tcPr>
          <w:p>
            <w:pPr>
              <w:spacing w:after="0"/>
              <w:rPr>
                <w:sz w:val="24"/>
                <w:szCs w:val="24"/>
                <w:color w:val="auto"/>
              </w:rPr>
            </w:pP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transaction loss (gain)</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Fin 48 receivable write off</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6,793</w:t>
            </w:r>
          </w:p>
        </w:tc>
        <w:tc>
          <w:tcPr>
            <w:tcW w:w="0" w:type="dxa"/>
            <w:vAlign w:val="bottom"/>
          </w:tcPr>
          <w:p>
            <w:pPr>
              <w:spacing w:after="0"/>
              <w:rPr>
                <w:sz w:val="1"/>
                <w:szCs w:val="1"/>
                <w:color w:val="auto"/>
              </w:rPr>
            </w:pPr>
          </w:p>
        </w:tc>
      </w:tr>
      <w:tr>
        <w:trPr>
          <w:trHeight w:val="198"/>
        </w:trPr>
        <w:tc>
          <w:tcPr>
            <w:tcW w:w="4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Non-service pension and other post retirement benefits</w:t>
            </w: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 (income)</w:t>
            </w:r>
          </w:p>
        </w:tc>
        <w:tc>
          <w:tcPr>
            <w:tcW w:w="14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822</w:t>
            </w:r>
          </w:p>
        </w:tc>
        <w:tc>
          <w:tcPr>
            <w:tcW w:w="14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1,438</w:t>
            </w:r>
          </w:p>
        </w:tc>
        <w:tc>
          <w:tcPr>
            <w:tcW w:w="14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2,976</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9"/>
                <w:szCs w:val="19"/>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446</w:t>
            </w:r>
          </w:p>
        </w:tc>
        <w:tc>
          <w:tcPr>
            <w:tcW w:w="140" w:type="dxa"/>
            <w:vAlign w:val="bottom"/>
          </w:tcPr>
          <w:p>
            <w:pPr>
              <w:spacing w:after="0"/>
              <w:rPr>
                <w:sz w:val="19"/>
                <w:szCs w:val="19"/>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1,531</w:t>
            </w:r>
          </w:p>
        </w:tc>
        <w:tc>
          <w:tcPr>
            <w:tcW w:w="0" w:type="dxa"/>
            <w:vAlign w:val="bottom"/>
          </w:tcPr>
          <w:p>
            <w:pPr>
              <w:spacing w:after="0"/>
              <w:rPr>
                <w:sz w:val="1"/>
                <w:szCs w:val="1"/>
                <w:color w:val="auto"/>
              </w:rPr>
            </w:pPr>
          </w:p>
        </w:tc>
      </w:tr>
      <w:tr>
        <w:trPr>
          <w:trHeight w:val="223"/>
        </w:trPr>
        <w:tc>
          <w:tcPr>
            <w:tcW w:w="4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Other Comprehensive Income (Loss) and Changes in Accumulated Other Comprehensive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effects allocated to each component of other comprehensive income are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6"/>
              </w:rPr>
              <w:t>Before-Tax</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9"/>
              </w:rPr>
              <w:t>Tax (Expense) or</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Net-of-Tax</w:t>
            </w: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Amount</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8"/>
              </w:rPr>
              <w:t>Benefit</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Amount</w:t>
            </w: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5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w:t>
            </w:r>
          </w:p>
        </w:tc>
        <w:tc>
          <w:tcPr>
            <w:tcW w:w="24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Pension liability adjustments</w:t>
            </w:r>
          </w:p>
        </w:tc>
        <w:tc>
          <w:tcPr>
            <w:tcW w:w="5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1,802</w:t>
            </w:r>
          </w:p>
        </w:tc>
        <w:tc>
          <w:tcPr>
            <w:tcW w:w="1740" w:type="dxa"/>
            <w:vAlign w:val="bottom"/>
          </w:tcPr>
          <w:p>
            <w:pPr>
              <w:spacing w:after="0"/>
              <w:rPr>
                <w:sz w:val="19"/>
                <w:szCs w:val="19"/>
                <w:color w:val="auto"/>
              </w:rPr>
            </w:pPr>
          </w:p>
        </w:tc>
        <w:tc>
          <w:tcPr>
            <w:tcW w:w="6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832</w:t>
            </w:r>
          </w:p>
        </w:tc>
        <w:tc>
          <w:tcPr>
            <w:tcW w:w="360" w:type="dxa"/>
            <w:vAlign w:val="bottom"/>
          </w:tcPr>
          <w:p>
            <w:pPr>
              <w:spacing w:after="0"/>
              <w:rPr>
                <w:sz w:val="19"/>
                <w:szCs w:val="19"/>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2,634</w:t>
            </w: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ind w:right="157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5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3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6"/>
              </w:rPr>
              <w:t>Before-Tax</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Tax (Expense) or</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Net-of-Tax</w:t>
            </w: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Amount</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8"/>
              </w:rPr>
              <w:t>Benefit</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Amount</w:t>
            </w: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5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(7,341)</w:t>
            </w:r>
          </w:p>
        </w:tc>
        <w:tc>
          <w:tcPr>
            <w:tcW w:w="24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Pension liability adjustments</w:t>
            </w:r>
          </w:p>
        </w:tc>
        <w:tc>
          <w:tcPr>
            <w:tcW w:w="5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1,823</w:t>
            </w:r>
          </w:p>
        </w:tc>
        <w:tc>
          <w:tcPr>
            <w:tcW w:w="1740" w:type="dxa"/>
            <w:vAlign w:val="bottom"/>
          </w:tcPr>
          <w:p>
            <w:pPr>
              <w:spacing w:after="0"/>
              <w:rPr>
                <w:sz w:val="19"/>
                <w:szCs w:val="19"/>
                <w:color w:val="auto"/>
              </w:rPr>
            </w:pPr>
          </w:p>
        </w:tc>
        <w:tc>
          <w:tcPr>
            <w:tcW w:w="6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(668)</w:t>
            </w:r>
          </w:p>
        </w:tc>
        <w:tc>
          <w:tcPr>
            <w:tcW w:w="360" w:type="dxa"/>
            <w:vAlign w:val="bottom"/>
          </w:tcPr>
          <w:p>
            <w:pPr>
              <w:spacing w:after="0"/>
              <w:rPr>
                <w:sz w:val="19"/>
                <w:szCs w:val="19"/>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1,155</w:t>
            </w: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bottom w:val="single" w:sz="8" w:color="auto"/>
            </w:tcBorders>
            <w:shd w:val="clear" w:color="auto" w:fill="CCEEFF"/>
          </w:tcPr>
          <w:p>
            <w:pPr>
              <w:jc w:val="right"/>
              <w:ind w:right="157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5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3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6"/>
              </w:rPr>
              <w:t>Before-Tax</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9"/>
              </w:rPr>
              <w:t>Tax (Expense) or</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Net-of-Tax</w:t>
            </w: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Amount</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8"/>
              </w:rPr>
              <w:t>Benefit</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Amount</w:t>
            </w: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5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24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Pension liability adjustments</w:t>
            </w:r>
          </w:p>
        </w:tc>
        <w:tc>
          <w:tcPr>
            <w:tcW w:w="5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3,438</w:t>
            </w:r>
          </w:p>
        </w:tc>
        <w:tc>
          <w:tcPr>
            <w:tcW w:w="1740" w:type="dxa"/>
            <w:vAlign w:val="bottom"/>
          </w:tcPr>
          <w:p>
            <w:pPr>
              <w:spacing w:after="0"/>
              <w:rPr>
                <w:sz w:val="19"/>
                <w:szCs w:val="19"/>
                <w:color w:val="auto"/>
              </w:rPr>
            </w:pPr>
          </w:p>
        </w:tc>
        <w:tc>
          <w:tcPr>
            <w:tcW w:w="6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116</w:t>
            </w:r>
          </w:p>
        </w:tc>
        <w:tc>
          <w:tcPr>
            <w:tcW w:w="360" w:type="dxa"/>
            <w:vAlign w:val="bottom"/>
          </w:tcPr>
          <w:p>
            <w:pPr>
              <w:spacing w:after="0"/>
              <w:rPr>
                <w:sz w:val="19"/>
                <w:szCs w:val="19"/>
                <w:color w:val="auto"/>
              </w:rPr>
            </w:pPr>
          </w:p>
        </w:tc>
        <w:tc>
          <w:tcPr>
            <w:tcW w:w="1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3,554</w:t>
            </w: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ind w:right="157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7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Changes in accumulated other comprehensive loss consist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Accrued Employee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Translation</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9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color w:val="auto"/>
              </w:rPr>
              <w:t>Benefits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3"/>
          </w:tcPr>
          <w:p>
            <w:pPr>
              <w:jc w:val="right"/>
              <w:ind w:right="401"/>
              <w:spacing w:after="0"/>
              <w:rPr>
                <w:sz w:val="20"/>
                <w:szCs w:val="20"/>
                <w:color w:val="auto"/>
              </w:rPr>
            </w:pPr>
            <w:r>
              <w:rPr>
                <w:rFonts w:ascii="Times New Roman" w:cs="Times New Roman" w:eastAsia="Times New Roman" w:hAnsi="Times New Roman"/>
                <w:sz w:val="18"/>
                <w:szCs w:val="18"/>
                <w:color w:val="auto"/>
              </w:rPr>
              <w:t>Adjustments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(22,113)</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(59,200)</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(7,341)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(6,309)</w:t>
            </w:r>
          </w:p>
        </w:tc>
      </w:tr>
      <w:tr>
        <w:trPr>
          <w:trHeight w:val="230"/>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Reclassifications from accumulated other comprehensive loss to earnings</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19"/>
                <w:szCs w:val="19"/>
                <w:color w:val="auto"/>
              </w:rPr>
            </w:pPr>
          </w:p>
        </w:tc>
      </w:tr>
      <w:tr>
        <w:trPr>
          <w:trHeight w:val="20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(44,428)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(65,386)</w:t>
            </w:r>
          </w:p>
        </w:tc>
        <w:tc>
          <w:tcPr>
            <w:tcW w:w="100" w:type="dxa"/>
            <w:vAlign w:val="bottom"/>
            <w:gridSpan w:val="2"/>
          </w:tcPr>
          <w:p>
            <w:pPr>
              <w:spacing w:after="0"/>
              <w:rPr>
                <w:sz w:val="18"/>
                <w:szCs w:val="18"/>
                <w:color w:val="auto"/>
              </w:rPr>
            </w:pPr>
          </w:p>
        </w:tc>
      </w:tr>
      <w:tr>
        <w:trPr>
          <w:trHeight w:val="216"/>
        </w:trPr>
        <w:tc>
          <w:tcPr>
            <w:tcW w:w="57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6,471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10,019</w:t>
            </w:r>
          </w:p>
        </w:tc>
        <w:tc>
          <w:tcPr>
            <w:tcW w:w="80" w:type="dxa"/>
            <w:vAlign w:val="bottom"/>
          </w:tcPr>
          <w:p>
            <w:pPr>
              <w:spacing w:after="0"/>
              <w:rPr>
                <w:sz w:val="18"/>
                <w:szCs w:val="18"/>
                <w:color w:val="auto"/>
              </w:rPr>
            </w:pPr>
          </w:p>
        </w:tc>
      </w:tr>
      <w:tr>
        <w:trPr>
          <w:trHeight w:val="229"/>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Reclassifications from accumulated other comprehensive loss to earnings</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r>
      <w:tr>
        <w:trPr>
          <w:trHeight w:val="22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(17,404</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(37,957</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(55,361</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9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4"/>
        </w:trPr>
        <w:tc>
          <w:tcPr>
            <w:tcW w:w="3900" w:type="dxa"/>
            <w:vAlign w:val="bottom"/>
          </w:tcPr>
          <w:p>
            <w:pPr>
              <w:spacing w:after="0"/>
              <w:rPr>
                <w:sz w:val="24"/>
                <w:szCs w:val="24"/>
                <w:color w:val="auto"/>
              </w:rPr>
            </w:pPr>
          </w:p>
        </w:tc>
        <w:tc>
          <w:tcPr>
            <w:tcW w:w="3940" w:type="dxa"/>
            <w:vAlign w:val="bottom"/>
            <w:gridSpan w:val="7"/>
          </w:tcPr>
          <w:p>
            <w:pPr>
              <w:jc w:val="right"/>
              <w:ind w:right="261"/>
              <w:spacing w:after="0"/>
              <w:rPr>
                <w:sz w:val="20"/>
                <w:szCs w:val="20"/>
                <w:color w:val="auto"/>
              </w:rPr>
            </w:pPr>
            <w:r>
              <w:rPr>
                <w:rFonts w:ascii="Times New Roman" w:cs="Times New Roman" w:eastAsia="Times New Roman" w:hAnsi="Times New Roman"/>
                <w:sz w:val="18"/>
                <w:szCs w:val="18"/>
                <w:color w:val="auto"/>
              </w:rPr>
              <w:t>Amounts Reclassified from Accumulated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Affected Line Items in the Consolidated</w:t>
            </w:r>
          </w:p>
        </w:tc>
      </w:tr>
      <w:tr>
        <w:trPr>
          <w:trHeight w:val="234"/>
        </w:trPr>
        <w:tc>
          <w:tcPr>
            <w:tcW w:w="3900" w:type="dxa"/>
            <w:vAlign w:val="bottom"/>
          </w:tcPr>
          <w:p>
            <w:pPr>
              <w:spacing w:after="0"/>
              <w:rPr>
                <w:sz w:val="20"/>
                <w:szCs w:val="20"/>
                <w:color w:val="auto"/>
              </w:rPr>
            </w:pPr>
          </w:p>
        </w:tc>
        <w:tc>
          <w:tcPr>
            <w:tcW w:w="3940" w:type="dxa"/>
            <w:vAlign w:val="bottom"/>
            <w:tcBorders>
              <w:bottom w:val="single" w:sz="8" w:color="auto"/>
            </w:tcBorders>
            <w:gridSpan w:val="7"/>
          </w:tcPr>
          <w:p>
            <w:pPr>
              <w:jc w:val="right"/>
              <w:ind w:right="761"/>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00" w:type="dxa"/>
            <w:vAlign w:val="bottom"/>
            <w:tcBorders>
              <w:bottom w:val="single" w:sz="8" w:color="auto"/>
            </w:tcBorders>
            <w:gridSpan w:val="7"/>
          </w:tcPr>
          <w:p>
            <w:pPr>
              <w:ind w:left="580"/>
              <w:spacing w:after="0"/>
              <w:rPr>
                <w:sz w:val="20"/>
                <w:szCs w:val="20"/>
                <w:color w:val="auto"/>
              </w:rPr>
            </w:pPr>
            <w:r>
              <w:rPr>
                <w:rFonts w:ascii="Times New Roman" w:cs="Times New Roman" w:eastAsia="Times New Roman" w:hAnsi="Times New Roman"/>
                <w:sz w:val="18"/>
                <w:szCs w:val="18"/>
                <w:color w:val="auto"/>
              </w:rPr>
              <w:t>Statement of Operations</w:t>
            </w:r>
          </w:p>
        </w:tc>
      </w:tr>
      <w:tr>
        <w:trPr>
          <w:trHeight w:val="223"/>
        </w:trPr>
        <w:tc>
          <w:tcPr>
            <w:tcW w:w="39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December 31, 2025</w:t>
            </w: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December 31, 2024</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employee benefits</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1800" w:type="dxa"/>
            <w:vAlign w:val="bottom"/>
          </w:tcPr>
          <w:p>
            <w:pPr>
              <w:jc w:val="right"/>
              <w:ind w:right="163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6"/>
              </w:rPr>
              <w:t>123</w:t>
            </w: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8"/>
              </w:rPr>
              <w:t>Other expense, net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3900" w:type="dxa"/>
            <w:vAlign w:val="bottom"/>
            <w:tcBorders>
              <w:top w:val="single" w:sz="8" w:color="CCEEFF"/>
              <w:bottom w:val="single" w:sz="8" w:color="CCEEFF"/>
            </w:tcBorders>
            <w:shd w:val="clear" w:color="auto" w:fill="CCEEFF"/>
          </w:tcPr>
          <w:p>
            <w:pPr>
              <w:spacing w:after="0"/>
              <w:rPr>
                <w:sz w:val="19"/>
                <w:szCs w:val="19"/>
                <w:color w:val="auto"/>
              </w:rPr>
            </w:pPr>
          </w:p>
        </w:tc>
        <w:tc>
          <w:tcPr>
            <w:tcW w:w="1800" w:type="dxa"/>
            <w:vAlign w:val="bottom"/>
            <w:tcBorders>
              <w:top w:val="single" w:sz="8" w:color="auto"/>
              <w:bottom w:val="single" w:sz="8" w:color="auto"/>
            </w:tcBorders>
            <w:shd w:val="clear" w:color="auto" w:fill="CCEEFF"/>
          </w:tcPr>
          <w:p>
            <w:pPr>
              <w:jc w:val="right"/>
              <w:ind w:right="1632"/>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39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20. Variable Interest Entity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holds a variable interest in a joint venture for which the Company is the primary beneficiary, the joint venture, VE Netting,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carrying amount of the VIEs’ assets and liabilities included in the Company’s Consolidated Balance Sheets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December 31,</w:t>
            </w:r>
          </w:p>
        </w:tc>
        <w:tc>
          <w:tcPr>
            <w:tcW w:w="80" w:type="dxa"/>
            <w:vAlign w:val="bottom"/>
          </w:tcPr>
          <w:p>
            <w:pPr>
              <w:spacing w:after="0"/>
              <w:rPr>
                <w:sz w:val="18"/>
                <w:szCs w:val="18"/>
                <w:color w:val="auto"/>
              </w:rPr>
            </w:pP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5940" w:type="dxa"/>
            <w:vAlign w:val="bottom"/>
            <w:tcBorders>
              <w:bottom w:val="single" w:sz="8" w:color="CCEEFF"/>
            </w:tcBorders>
          </w:tcPr>
          <w:p>
            <w:pPr>
              <w:spacing w:after="0"/>
              <w:rPr>
                <w:sz w:val="20"/>
                <w:szCs w:val="20"/>
                <w:color w:val="auto"/>
              </w:rPr>
            </w:pPr>
          </w:p>
        </w:tc>
        <w:tc>
          <w:tcPr>
            <w:tcW w:w="22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Receivables, net</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16"/>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09"/>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equipment,net</w:t>
            </w:r>
          </w:p>
        </w:tc>
        <w:tc>
          <w:tcPr>
            <w:tcW w:w="2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594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40" w:type="dxa"/>
            <w:vAlign w:val="bottom"/>
            <w:vMerge w:val="continue"/>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63"/>
        </w:trPr>
        <w:tc>
          <w:tcPr>
            <w:tcW w:w="59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Liabilites</w:t>
            </w:r>
          </w:p>
        </w:tc>
        <w:tc>
          <w:tcPr>
            <w:tcW w:w="22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94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Paid in capital</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2,931</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(2,643)</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 Equity</w:t>
            </w:r>
          </w:p>
        </w:tc>
        <w:tc>
          <w:tcPr>
            <w:tcW w:w="2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assets in the above table can only be used to settle obligations of the consolidated VIE. Liabilities are nonrecourse obligations. Amounts presented in the table above are adjusted for intercompany eliminations.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Statement of Operations of the VIE included in the Company’s Consolidated Statement of Operations for the years ended December 31, 2025, 2024,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8"/>
              </w:rPr>
              <w:t>December 31,</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December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4760" w:type="dxa"/>
            <w:vAlign w:val="bottom"/>
            <w:tcBorders>
              <w:bottom w:val="single" w:sz="8" w:color="CCEEFF"/>
            </w:tcBorders>
          </w:tcPr>
          <w:p>
            <w:pPr>
              <w:spacing w:after="0"/>
              <w:rPr>
                <w:sz w:val="20"/>
                <w:szCs w:val="20"/>
                <w:color w:val="auto"/>
              </w:rPr>
            </w:pPr>
          </w:p>
        </w:tc>
        <w:tc>
          <w:tcPr>
            <w:tcW w:w="2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r>
      <w:tr>
        <w:trPr>
          <w:trHeight w:val="21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shd w:val="clear" w:color="auto" w:fill="CCEEFF"/>
          </w:tcPr>
          <w:p>
            <w:pPr>
              <w:spacing w:after="0"/>
              <w:rPr>
                <w:sz w:val="18"/>
                <w:szCs w:val="18"/>
                <w:color w:val="auto"/>
              </w:rPr>
            </w:pPr>
          </w:p>
        </w:tc>
      </w:tr>
      <w:tr>
        <w:trPr>
          <w:trHeight w:val="22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1,207</w:t>
            </w:r>
          </w:p>
        </w:tc>
      </w:tr>
      <w:tr>
        <w:trPr>
          <w:trHeight w:val="209"/>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r>
      <w:tr>
        <w:trPr>
          <w:trHeight w:val="22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w:t>
            </w: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10"/>
        </w:trPr>
        <w:tc>
          <w:tcPr>
            <w:tcW w:w="476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47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7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6"/>
        </w:trPr>
        <w:tc>
          <w:tcPr>
            <w:tcW w:w="47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21. Net Income (Loss) Per Share</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8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(dollar amounts in thousands):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6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6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income attributable to common stockholders</w:t>
            </w:r>
          </w:p>
        </w:tc>
        <w:tc>
          <w:tcPr>
            <w:tcW w:w="5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(65,494)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(5,360)</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13,506</w:t>
            </w:r>
          </w:p>
        </w:tc>
      </w:tr>
      <w:tr>
        <w:trPr>
          <w:trHeight w:val="196"/>
        </w:trPr>
        <w:tc>
          <w:tcPr>
            <w:tcW w:w="6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134,617,157</w:t>
            </w:r>
          </w:p>
        </w:tc>
        <w:tc>
          <w:tcPr>
            <w:tcW w:w="200" w:type="dxa"/>
            <w:vAlign w:val="bottom"/>
          </w:tcPr>
          <w:p>
            <w:pPr>
              <w:spacing w:after="0"/>
              <w:rPr>
                <w:sz w:val="24"/>
                <w:szCs w:val="24"/>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103,190,665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103,190,665</w:t>
            </w:r>
          </w:p>
        </w:tc>
      </w:tr>
      <w:tr>
        <w:trPr>
          <w:trHeight w:val="197"/>
        </w:trPr>
        <w:tc>
          <w:tcPr>
            <w:tcW w:w="6640" w:type="dxa"/>
            <w:vAlign w:val="bottom"/>
            <w:tcBorders>
              <w:top w:val="single" w:sz="8" w:color="CCEEFF"/>
              <w:bottom w:val="single" w:sz="8" w:color="CCEEFF"/>
            </w:tcBorders>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Net (loss) income per share attributable to common stockholders, basic and diluted</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Restructuring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2024, the Company announced and began implementing a restructuring plan to realign our operational focus to support multi-year growth, scale the business, and improve costs (the “2024 Restructuring Plan”). As part of this plan, the Company reduced headcount and closed its Swiecie, Poland manufacturing facility and transferred a portion of the machinery to its Legnica, Poland facility to expand production capabilities, scale the business, and improve costs. The plant closure resulted in the loss on disposal of property, plant and equipment of $41 which is included in the consolidated statements of operations for the year ended December 31, 2024. The majority of the 2024 Restructuring Plan was implemented and completed in the year ended December 31, 2024.</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26, 2025, the Company announced that it would cease production at the Osceola, Arkansas facility effective May 31, 2025 (the “2025 Plant Closure Program”). In connection with the plant closure, 210 employees were separated under the separation plan resulting in severance of approximately $4,600 included in the restructuring and related costs for the year ended December 31, 2025. The plant closure resulted in an impairment of $9,600 related to the property, plant and equipment and $7,059 related to inventory which are recorded as Asset impairment charge in the condensed consolidated statement of operations for the year ended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expense consists of the following which are recorded as a restructuring expense in the consolidated statements of operations: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3560" w:type="dxa"/>
            <w:vAlign w:val="bottom"/>
            <w:gridSpan w:val="4"/>
          </w:tcPr>
          <w:p>
            <w:pPr>
              <w:ind w:left="1980"/>
              <w:spacing w:after="0"/>
              <w:rPr>
                <w:sz w:val="20"/>
                <w:szCs w:val="20"/>
                <w:color w:val="auto"/>
              </w:rPr>
            </w:pPr>
            <w:r>
              <w:rPr>
                <w:rFonts w:ascii="Times New Roman" w:cs="Times New Roman" w:eastAsia="Times New Roman" w:hAnsi="Times New Roman"/>
                <w:sz w:val="18"/>
                <w:szCs w:val="18"/>
                <w:color w:val="auto"/>
              </w:rPr>
              <w:t>December 31, 2025</w:t>
            </w:r>
          </w:p>
        </w:tc>
        <w:tc>
          <w:tcPr>
            <w:tcW w:w="1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680" w:type="dxa"/>
            <w:vAlign w:val="bottom"/>
          </w:tcPr>
          <w:p>
            <w:pPr>
              <w:spacing w:after="0"/>
              <w:rPr>
                <w:sz w:val="20"/>
                <w:szCs w:val="20"/>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and other personnel costs</w:t>
            </w:r>
          </w:p>
        </w:tc>
        <w:tc>
          <w:tcPr>
            <w:tcW w:w="19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343</w:t>
            </w:r>
          </w:p>
        </w:tc>
        <w:tc>
          <w:tcPr>
            <w:tcW w:w="680" w:type="dxa"/>
            <w:vAlign w:val="bottom"/>
          </w:tcPr>
          <w:p>
            <w:pPr>
              <w:spacing w:after="0"/>
              <w:rPr>
                <w:sz w:val="18"/>
                <w:szCs w:val="18"/>
                <w:color w:val="auto"/>
              </w:rPr>
            </w:pPr>
          </w:p>
        </w:tc>
      </w:tr>
      <w:tr>
        <w:trPr>
          <w:trHeight w:val="23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and disposal costs and professional fees</w:t>
            </w:r>
          </w:p>
        </w:tc>
        <w:tc>
          <w:tcPr>
            <w:tcW w:w="1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2,454</w:t>
            </w: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1,059</w:t>
            </w:r>
          </w:p>
        </w:tc>
        <w:tc>
          <w:tcPr>
            <w:tcW w:w="680" w:type="dxa"/>
            <w:vAlign w:val="bottom"/>
          </w:tcPr>
          <w:p>
            <w:pPr>
              <w:spacing w:after="0"/>
              <w:rPr>
                <w:sz w:val="19"/>
                <w:szCs w:val="19"/>
                <w:color w:val="auto"/>
              </w:rPr>
            </w:pPr>
          </w:p>
        </w:tc>
      </w:tr>
      <w:tr>
        <w:trPr>
          <w:trHeight w:val="223"/>
        </w:trPr>
        <w:tc>
          <w:tcPr>
            <w:tcW w:w="55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7,054</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8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655"/>
        </w:trPr>
        <w:tc>
          <w:tcPr>
            <w:tcW w:w="55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color w:val="auto"/>
        </w:rPr>
        <w:t>The following table summarizes the activities for the 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703695"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6703695" cy="145415"/>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70369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6703695" cy="14605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balance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December 31,</w:t>
            </w: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1"/>
        </w:trPr>
        <w:tc>
          <w:tcPr>
            <w:tcW w:w="14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13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1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7,054</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1,917</w:t>
            </w:r>
          </w:p>
        </w:tc>
        <w:tc>
          <w:tcPr>
            <w:tcW w:w="40" w:type="dxa"/>
            <w:vAlign w:val="bottom"/>
          </w:tcPr>
          <w:p>
            <w:pPr>
              <w:spacing w:after="0"/>
              <w:rPr>
                <w:sz w:val="18"/>
                <w:szCs w:val="18"/>
                <w:color w:val="auto"/>
              </w:rPr>
            </w:pPr>
          </w:p>
        </w:tc>
      </w:tr>
      <w:tr>
        <w:trPr>
          <w:trHeight w:val="248"/>
        </w:trPr>
        <w:tc>
          <w:tcPr>
            <w:tcW w:w="140" w:type="dxa"/>
            <w:vAlign w:val="bottom"/>
          </w:tcPr>
          <w:p>
            <w:pPr>
              <w:spacing w:after="0"/>
              <w:rPr>
                <w:sz w:val="21"/>
                <w:szCs w:val="21"/>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(6,901)</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(1,917)</w:t>
            </w:r>
          </w:p>
        </w:tc>
      </w:tr>
      <w:tr>
        <w:trPr>
          <w:trHeight w:val="223"/>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Pr>
          <w:p>
            <w:pPr>
              <w:spacing w:after="0"/>
              <w:rPr>
                <w:sz w:val="19"/>
                <w:szCs w:val="19"/>
                <w:color w:val="auto"/>
              </w:rPr>
            </w:pPr>
          </w:p>
        </w:tc>
        <w:tc>
          <w:tcPr>
            <w:tcW w:w="14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920" w:space="600"/>
            <w:col w:w="3720"/>
          </w:cols>
          <w:pgMar w:left="320" w:top="904" w:right="339" w:bottom="1440" w:gutter="0" w:footer="0" w:header="0"/>
        </w:sect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we continue to review our global businesses and may take additional restructuring actions where a path to sustained profitability is not feasible when considering the capital allocation required for those businesses.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23. Revenue Recognition</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net sales by product line:</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4"/>
        </w:trPr>
        <w:tc>
          <w:tcPr>
            <w:tcW w:w="6560" w:type="dxa"/>
            <w:vAlign w:val="bottom"/>
          </w:tcPr>
          <w:p>
            <w:pPr>
              <w:spacing w:after="0"/>
              <w:rPr>
                <w:sz w:val="24"/>
                <w:szCs w:val="24"/>
                <w:color w:val="auto"/>
              </w:rPr>
            </w:pP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Pr>
          <w:p>
            <w:pPr>
              <w:spacing w:after="0"/>
              <w:rPr>
                <w:sz w:val="24"/>
                <w:szCs w:val="24"/>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December 31,</w:t>
            </w:r>
          </w:p>
        </w:tc>
        <w:tc>
          <w:tcPr>
            <w:tcW w:w="12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65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09"/>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by product line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Nojax</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191,863</w:t>
            </w:r>
          </w:p>
        </w:tc>
        <w:tc>
          <w:tcPr>
            <w:tcW w:w="34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228,494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233,295</w:t>
            </w:r>
          </w:p>
        </w:tc>
        <w:tc>
          <w:tcPr>
            <w:tcW w:w="60" w:type="dxa"/>
            <w:vAlign w:val="bottom"/>
          </w:tcPr>
          <w:p>
            <w:pPr>
              <w:spacing w:after="0"/>
              <w:rPr>
                <w:sz w:val="18"/>
                <w:szCs w:val="18"/>
                <w:color w:val="auto"/>
              </w:rPr>
            </w:pPr>
          </w:p>
        </w:tc>
      </w:tr>
      <w:tr>
        <w:trPr>
          <w:trHeight w:val="216"/>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Fibrous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103,709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104,509</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129,935</w:t>
            </w:r>
          </w:p>
        </w:tc>
        <w:tc>
          <w:tcPr>
            <w:tcW w:w="60" w:type="dxa"/>
            <w:vAlign w:val="bottom"/>
            <w:shd w:val="clear" w:color="auto" w:fill="CCEEFF"/>
          </w:tcPr>
          <w:p>
            <w:pPr>
              <w:spacing w:after="0"/>
              <w:rPr>
                <w:sz w:val="18"/>
                <w:szCs w:val="18"/>
                <w:color w:val="auto"/>
              </w:rPr>
            </w:pPr>
          </w:p>
        </w:tc>
      </w:tr>
      <w:tr>
        <w:trPr>
          <w:trHeight w:val="216"/>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Large</w:t>
            </w: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9,931</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12,879</w:t>
            </w:r>
          </w:p>
        </w:tc>
        <w:tc>
          <w:tcPr>
            <w:tcW w:w="60" w:type="dxa"/>
            <w:vAlign w:val="bottom"/>
          </w:tcPr>
          <w:p>
            <w:pPr>
              <w:spacing w:after="0"/>
              <w:rPr>
                <w:sz w:val="18"/>
                <w:szCs w:val="18"/>
                <w:color w:val="auto"/>
              </w:rPr>
            </w:pPr>
          </w:p>
        </w:tc>
      </w:tr>
      <w:tr>
        <w:trPr>
          <w:trHeight w:val="216"/>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Plastic</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46,685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49,572</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57,683</w:t>
            </w:r>
          </w:p>
        </w:tc>
        <w:tc>
          <w:tcPr>
            <w:tcW w:w="60" w:type="dxa"/>
            <w:vAlign w:val="bottom"/>
            <w:shd w:val="clear" w:color="auto" w:fill="CCEEFF"/>
          </w:tcPr>
          <w:p>
            <w:pPr>
              <w:spacing w:after="0"/>
              <w:rPr>
                <w:sz w:val="18"/>
                <w:szCs w:val="18"/>
                <w:color w:val="auto"/>
              </w:rPr>
            </w:pPr>
          </w:p>
        </w:tc>
      </w:tr>
      <w:tr>
        <w:trPr>
          <w:trHeight w:val="216"/>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Traded Goods</w:t>
            </w: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8,662</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10,512</w:t>
            </w:r>
          </w:p>
        </w:tc>
        <w:tc>
          <w:tcPr>
            <w:tcW w:w="60" w:type="dxa"/>
            <w:vAlign w:val="bottom"/>
          </w:tcPr>
          <w:p>
            <w:pPr>
              <w:spacing w:after="0"/>
              <w:rPr>
                <w:sz w:val="18"/>
                <w:szCs w:val="18"/>
                <w:color w:val="auto"/>
              </w:rPr>
            </w:pPr>
          </w:p>
        </w:tc>
      </w:tr>
      <w:tr>
        <w:trPr>
          <w:trHeight w:val="229"/>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2,607</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1,680</w:t>
            </w:r>
          </w:p>
        </w:tc>
        <w:tc>
          <w:tcPr>
            <w:tcW w:w="60" w:type="dxa"/>
            <w:vAlign w:val="bottom"/>
            <w:shd w:val="clear" w:color="auto" w:fill="CCEEFF"/>
          </w:tcPr>
          <w:p>
            <w:pPr>
              <w:spacing w:after="0"/>
              <w:rPr>
                <w:sz w:val="19"/>
                <w:szCs w:val="19"/>
                <w:color w:val="auto"/>
              </w:rPr>
            </w:pPr>
          </w:p>
        </w:tc>
      </w:tr>
      <w:tr>
        <w:trPr>
          <w:trHeight w:val="223"/>
        </w:trPr>
        <w:tc>
          <w:tcPr>
            <w:tcW w:w="65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364,356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403,775</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445,984</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Viskase evaluated its December 31, 2025 consolidated financial statements for subsequent events through March 27,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Private Placement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2026, Viskase entered into a securities purchase agreement with AEP pursuant to which it issued and sold 25,862,070 shares of its common stock at a purchase price of $0.58 per share, resulting in aggregate cash proceeds of approximately $15.0 million. Prior to the completion of these Private Placements, IELP beneficially owned approximately 92.82% of the Company’s outstanding common stock. As a result of these Private Placements, IELP is the beneficial owner of approximately 94.0% of the Company’s outstanding common stock.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Authorized 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2026, Viskase increased its authorized common stock from 150,000,000 at par value of $0.01 to 230,000,000 at par value of $0.01.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Merger with Enzon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26, 2026, the Company consummated the Merger Agreement with Enzon. Under the terms of the agreement, the Company’s shareholders exchanged 100% of their equity for shares of common stock of Enzon, the legal acquirer. Although Enzon is the legal survivor, the Company is deemed the accounting acquirer for financial reporting purposes. The net assets of Enzon will be stated at historical cost, with no goodwill or other intangible assets recorded, and operations prior to the Merger will be those of Viskase. Upon closing, the Company received approximately $40 million in cash from Enzon.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Subsequent Events (unaudited)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considered whether there are any subsequent events that have occurred since March 27, 2026 that require recognition or disclosure in the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Amendments to the Senior Credit Facility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16, 2026, the Company finalized the Seventh Amendment to our Credit Agreement, which extends the Maturity Date from August 13, 2026 until August 13, 2027, amends the definition of Applicable Rate to increase the interest rate, amends the definition of Consolidated EBITDA to address the treatment of certain restructuring and transaction related costs and expenses, amends the definition of Permitted Transfers to allow the disposition of the equipment, real property and improvements of the Osceola Facility and the real property and improvements of the Chicago Property, and amends certain thresholds for obligations under the Existing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operates in the casing product segment of the food industry. Viskase is a worldwide leader in the production and sale of cellulosic, fibrous and plastic casings for the processed meat and poultry industry. Viskase currently operates nine manufacturing facilities throughout North America, Europe, South America and Asia. Viskase is one of the two largest worldwide producers of non-edible cellulosic casings for processed meats and one of the three largest manufacturers of non-edible fibrous casings.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sales are driven by consumer demand for meat products and the level of demand for casings by processed meat manufacturers, as well as the average selling prices of our casings. Specifically, demand for our casings is dependent on population growth, overall consumption of processed meats and the types of meat products purchased by consumers. Average selling prices are dependent on overall supply and demand for casings and our product mix.</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cellulose, fibrous and plastic casing extrusion operations are capital-intensive and are characterized by high fixed costs. Our finishing operations are labor intensive. The industry’s operating results have historically been sensitive to the global balance of capacity and demand. The industry’s extrusion facilities produce casings under a timed chemical process and operate continuously.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contribution margin varies with changes in selling price, input material costs, labor costs and manufacturing efficiencies. The total contribution margin increases as demand for our casings increases. Our financial results benefit from increased volume because we do not have to increase our fixed cost structure in proportion to increases in demand. For certain products, we operate at near capacity in our existing facilities. We regularly evaluate our capacity and projected market demand. We believe the current and planned cellulosic production capacity in our industry is in balance with global demand.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Comparison of Results of Operations for Years Ended December 31, 2025, 2024 and 2023</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discussion compares the results of operations for the fiscal year ended December 31, 2025 to the results of operations for the fiscal year ended December 31, 2024, and compares the results of operations for the fiscal year ended December 31, 2024 to the results of operations for the fiscal year ended December 31, 2023. We have provided the table below in order to facilitate an understanding of this discussion. The table shows our results of operations (in millions) for the 2025, 2024 and 2023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7"/>
              </w:rPr>
              <w:t>Year</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7"/>
              </w:rPr>
              <w:t>Year</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1"/>
              </w:rPr>
              <w:t>Year</w:t>
            </w:r>
          </w:p>
        </w:tc>
      </w:tr>
      <w:tr>
        <w:trPr>
          <w:trHeight w:val="216"/>
        </w:trPr>
        <w:tc>
          <w:tcPr>
            <w:tcW w:w="3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9"/>
              </w:rPr>
              <w:t>Ended</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9"/>
              </w:rPr>
              <w:t>Ended</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Ended</w:t>
            </w:r>
          </w:p>
        </w:tc>
      </w:tr>
      <w:tr>
        <w:trPr>
          <w:trHeight w:val="230"/>
        </w:trPr>
        <w:tc>
          <w:tcPr>
            <w:tcW w:w="3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9"/>
              </w:rPr>
              <w:t>December</w:t>
            </w: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9"/>
              </w:rPr>
              <w:t>December</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December</w:t>
            </w:r>
          </w:p>
        </w:tc>
      </w:tr>
      <w:tr>
        <w:trPr>
          <w:trHeight w:val="234"/>
        </w:trPr>
        <w:tc>
          <w:tcPr>
            <w:tcW w:w="334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31, 2025</w:t>
            </w:r>
          </w:p>
        </w:tc>
        <w:tc>
          <w:tcPr>
            <w:tcW w:w="52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31, 2024</w:t>
            </w:r>
          </w:p>
        </w:tc>
        <w:tc>
          <w:tcPr>
            <w:tcW w:w="58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31, 2023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327.6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336.0</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352.2</w:t>
            </w: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48.4</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52.4</w:t>
            </w: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1.6</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impairment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16.7</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0.4</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Restructing expense</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1.90</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NM</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(41.1)</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15.3</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 of income</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11.0</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10.5</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8"/>
                <w:szCs w:val="18"/>
                <w:color w:val="auto"/>
              </w:rPr>
            </w:pPr>
          </w:p>
        </w:tc>
      </w:tr>
      <w:tr>
        <w:trPr>
          <w:trHeight w:val="229"/>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provision</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12.1</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(0.7)</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NM</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r>
      <w:tr>
        <w:trPr>
          <w:trHeight w:val="209"/>
        </w:trPr>
        <w:tc>
          <w:tcPr>
            <w:tcW w:w="3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(65.8)</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(5.5)</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21"/>
                <w:szCs w:val="21"/>
                <w:color w:val="auto"/>
              </w:rPr>
            </w:pPr>
          </w:p>
        </w:tc>
      </w:tr>
      <w:tr>
        <w:trPr>
          <w:trHeight w:val="20"/>
        </w:trPr>
        <w:tc>
          <w:tcPr>
            <w:tcW w:w="3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Not meaningful when comparing positive to negative numbers or to zero.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Compared to 2024</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for 2025 were $364.4 million, representing a decrease of $39.4 million, or 9.8%, compared to 2024. The decrease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lower sales volume of approximately $37.0 million, with the remainder related to unfavorable price and product mix.</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for 2025 decreased 2.5% compared to the prior year. The decrease was primarily due to lower sales volumes, partially offset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costs for raw materials, increased manufacturing waste, and lower absorption of manufacturing overhead at our production facilities.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from $48.4 million in 2024 to $52.5 million in 2025.</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attributable to higher severance costs and transaction expenses incurred in connection with the Merger Agreement with Enzon.</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Amortization of Intangibles. </w:t>
      </w:r>
      <w:r>
        <w:rPr>
          <w:rFonts w:ascii="Times New Roman" w:cs="Times New Roman" w:eastAsia="Times New Roman" w:hAnsi="Times New Roman"/>
          <w:sz w:val="18"/>
          <w:szCs w:val="18"/>
          <w:color w:val="auto"/>
        </w:rPr>
        <w:t>The Company incurred an expense of $1.6 million during 2025 and 2024 on the amortization of intangibles recognized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prior acquisitions.</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Asset Impairment Charge. </w:t>
      </w:r>
      <w:r>
        <w:rPr>
          <w:rFonts w:ascii="Times New Roman" w:cs="Times New Roman" w:eastAsia="Times New Roman" w:hAnsi="Times New Roman"/>
          <w:sz w:val="18"/>
          <w:szCs w:val="18"/>
          <w:color w:val="auto"/>
        </w:rPr>
        <w:t>During 2025, the Company recorded an asset impairment charge of $16.7 million related to property, plant and equipment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in connection with the closure of the Osceola, Arkansas plant.</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Restructuring expense. </w:t>
      </w:r>
      <w:r>
        <w:rPr>
          <w:rFonts w:ascii="Times New Roman" w:cs="Times New Roman" w:eastAsia="Times New Roman" w:hAnsi="Times New Roman"/>
          <w:sz w:val="18"/>
          <w:szCs w:val="18"/>
          <w:color w:val="auto"/>
        </w:rPr>
        <w:t>Restructuring expense totaled $7.1 million in 2025 and relates to the 2025 Plant Closure Program associated with the closure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Osceola, Arkansas 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Income. </w:t>
      </w:r>
      <w:r>
        <w:rPr>
          <w:rFonts w:ascii="Times New Roman" w:cs="Times New Roman" w:eastAsia="Times New Roman" w:hAnsi="Times New Roman"/>
          <w:sz w:val="18"/>
          <w:szCs w:val="18"/>
          <w:color w:val="auto"/>
        </w:rPr>
        <w:t>Operating income for 2025 was -$41.1 million, representing a decrease of $56.4 million from the prior year. The decrease in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was primarily due to items discussed above.</w:t>
      </w:r>
    </w:p>
    <w:p>
      <w:pPr>
        <w:spacing w:after="0" w:line="15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net of interest income, was $9.7 million in 2025, a decrease of $1.3 million compared to 2024. The decrease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attributable to higher capitalized interest associated with increased capital expenditures during 2025, which reduced the amount of interest recognized as expense in the period.</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Expense. </w:t>
      </w:r>
      <w:r>
        <w:rPr>
          <w:rFonts w:ascii="Times New Roman" w:cs="Times New Roman" w:eastAsia="Times New Roman" w:hAnsi="Times New Roman"/>
          <w:sz w:val="18"/>
          <w:szCs w:val="18"/>
          <w:color w:val="auto"/>
        </w:rPr>
        <w:t>Other expense for 2025 was approximately $2.9 million, representing a decrease of $7.6 million over 2024. The decrease is primarily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higher foreign currency translation loss.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During 2025, the Company recorded income tax expense of $12.1 million, compared to an income tax benefit of $0.7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The Company’s effective income tax rate was (22.9%) in 2025, compared to (10.7%) in 2024. The effective tax rate for 2025 was primarily impacted by the recording of a valuation allowance on certain deferred tax assets during the year.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as a result of the factors discussed above, net loss for 2025 was $65.8 million, compared to a net loss of $5.5 million for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Compared to 2023</w:t>
      </w:r>
    </w:p>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Our net sales for 2024 were $403.8 million, which represents a decrease of $42.2 million or 9.5% from the prior year. Net sales decreased $25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from price and mix and $17 million due to volume.</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for 2024 decreased 4.6% from the comparable prior year period. The decrease is mainly due to lower sales volume,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for raw materials, manufacturing waste and lower absorption of manufacturing costs at our plants.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We decreased selling, general and administrative expenses from $52.4 million in 2023 to $48.4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The decrease is mainly due to lower costs for employee compensation plans.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Amortization of Intangibles. </w:t>
      </w:r>
      <w:r>
        <w:rPr>
          <w:rFonts w:ascii="Times New Roman" w:cs="Times New Roman" w:eastAsia="Times New Roman" w:hAnsi="Times New Roman"/>
          <w:sz w:val="18"/>
          <w:szCs w:val="18"/>
          <w:color w:val="auto"/>
        </w:rPr>
        <w:t>The Company incurred an expense of $1.6 million during 2024 and 2023 on the amortization of intangibles recognized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acquisitions.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Asset Impairment Charge. </w:t>
      </w:r>
      <w:r>
        <w:rPr>
          <w:rFonts w:ascii="Times New Roman" w:cs="Times New Roman" w:eastAsia="Times New Roman" w:hAnsi="Times New Roman"/>
          <w:sz w:val="18"/>
          <w:szCs w:val="18"/>
          <w:color w:val="auto"/>
        </w:rPr>
        <w:t>The Company incurred an asset impairment charge of $0.4 million in 2024 related to assets removed from service.</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Income. </w:t>
      </w:r>
      <w:r>
        <w:rPr>
          <w:rFonts w:ascii="Times New Roman" w:cs="Times New Roman" w:eastAsia="Times New Roman" w:hAnsi="Times New Roman"/>
          <w:sz w:val="18"/>
          <w:szCs w:val="18"/>
          <w:color w:val="auto"/>
        </w:rPr>
        <w:t>Operating income for 2024 was $15.3 million, representing a decrease of $24.1 million from the prior year. The decrease in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was primarily due to items discussed above.</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net of interest income, for 2024 was $11.0 million, representing a decrease of $1.0 million compared to 2023.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is a result of a lower interest rate on our Term loan.</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Expense. </w:t>
      </w:r>
      <w:r>
        <w:rPr>
          <w:rFonts w:ascii="Times New Roman" w:cs="Times New Roman" w:eastAsia="Times New Roman" w:hAnsi="Times New Roman"/>
          <w:sz w:val="18"/>
          <w:szCs w:val="18"/>
          <w:color w:val="auto"/>
        </w:rPr>
        <w:t>Other expense for 2024 was approximately $10.5 million, representing an increase of $0.1 million over 2023. The increase is primarily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higher foreign currency translation loss offset by the higher expense in 2023 due to reversal of a receivable on an uncertain tax position with the benefit running through the 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5" w:name="page56"/>
    <w:bookmarkEnd w:id="55"/>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During 2024, an income tax benefit of $0.7 million was recognized on the loss before income taxes of $6.2 million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expense of $3.5 million in 2023. The 2024 effective income tax rate was (10.7%) compared to 20.7% for 2023. The income tax rate benefited from the reversal of an uncertain tax position offset by valuation allowances on deferred tax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as a result of the factors discussed above, net loss for 2024 was $5.5 million compared to net income of $13.5 million for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decreased by $3.5 million during 2025. Net cash provided by operating activities was $13.2 million, while net cash used in investing activities was $35.4 million. Net cash provided by financing activities was $25.8 million.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provided by operating activities were primarily attributable to results of operations and changes in working capital. Cash flows used in investing activities were primarily related to capital expenditures. Cash flows provided by financing activities consisted primarily of proceeds from the issuance of common stock in connection with a private placement with Icahn Enterprises L.P.</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$7.0 million of cash held by foreign subsidiaries, compared to $5.1 million as of December 31, 2024. Total cash and cash equivalents were $9.2 million and $5.7 million as of December 31, 2025 and 2024, respectively. While cash held by foreign subsidiaries does not currently have a significant impact on the Company’s overall liquidity, such cash could serve as a potential source of liquidity if sufficient cash is not generated from domestic operations.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negative working capital of approximately $5.9 million, which includes all outstanding debt classified as short-term.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New Senior Credit Facility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9, 2020, Viskase Companies, Inc. (the “Company”) and certain of its subsidiaries, entered into that certain Credit Agreement (the “Credit Agreement”) with the various lenders named therein and Bank of America, N.A., as administrative agent for the lenders (the “Administrative Agent”), as amended by the First Amendment to Credit Agreement dated as of August 13, 2021, the Second Amendment to Credit Agreement dated as of August 10, 2022 and as further amended by the Limited Waiver and Third Amendment to Credit Agreement dated as of February 14, 2025 (the “Third Amendment”) as described below.</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Third Amendment includes a waiver on covenants for the year ended December 31, 2024, and a relief period for year 2025 (the “Covenant Relief Period”). During the Covenant Relief period, the consolidated leverage ratio will be increased to 4.00X through December 31, 2025. The consolidated fixed charge coverage ratio will be modified to include only maintenance capital expenditures and a year to date build basis for quarter ending calculation. At December 31, 2025 the consolidated fixed charge coverage ratio will return to a LTM basis. During the Covenant Relief Period, restricted payments, permitted acquisitions and other investments as defined by Credit Agreement are not allowed and the accordion feature of the credit facility, which allowed for an increase in borrowings under the facility has been suspended.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6" w:name="page57"/>
    <w:bookmarkEnd w:id="56"/>
    <w:p>
      <w:pPr>
        <w:jc w:val="both"/>
        <w:spacing w:after="0" w:line="261" w:lineRule="auto"/>
        <w:rPr>
          <w:sz w:val="20"/>
          <w:szCs w:val="20"/>
          <w:color w:val="auto"/>
        </w:rPr>
      </w:pPr>
      <w:r>
        <w:rPr>
          <w:rFonts w:ascii="Times New Roman" w:cs="Times New Roman" w:eastAsia="Times New Roman" w:hAnsi="Times New Roman"/>
          <w:sz w:val="18"/>
          <w:szCs w:val="18"/>
          <w:color w:val="auto"/>
        </w:rPr>
        <w:t>On July 26, 2025, the Company entered into the Fourth Amendment to its Senior Credit Facility. There were no changes to the facility amounts or maturity dates and repayment terms remained largely unchanged except for mandatory prepayments equal to $15 million upon the closing of the Enzon Merger by December 31, 2025 or $11.25 million if after December 31, 2025. The amendment also allows for certain exclusions relative to the merger for its financial covenants and EBIDTA addback amounts.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10, 2025, we finalized the fifth amendment to our credit agreement, which modified certain of our financial covenants.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23, 2026, we finalized the sixth amendment to our credit agreement, which includes a waiver on covenants for the year ended December 31, 2025. The Sixth Amendment, among other items, (i) requires Viskase to cooperate with the Administrative Agent’s financial advisor by providing access to Viskase’s facilities, financial information and senior management as required by the financial advisor and to reimburse the Administrative Agent for reasonable costs and fees associated with the engagement of the financial advisor’s services; (ii) subject to exceptions enumerated in the Sixth Amendment, Viskase and certain of its subsidiaries may not incur certain types of indebtedness of an aggregate of more than $0.1 million at any one time; and</w:t>
      </w:r>
    </w:p>
    <w:p>
      <w:pPr>
        <w:spacing w:after="0" w:line="3" w:lineRule="exact"/>
        <w:rPr>
          <w:sz w:val="20"/>
          <w:szCs w:val="20"/>
          <w:color w:val="auto"/>
        </w:rPr>
      </w:pPr>
    </w:p>
    <w:p>
      <w:pPr>
        <w:ind w:right="20" w:firstLine="8"/>
        <w:spacing w:after="0" w:line="260" w:lineRule="auto"/>
        <w:tabs>
          <w:tab w:leader="none" w:pos="31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Viskase and certain of its subsidiaries may not advance to officers, directors, and employees an aggregate amount greater than $0.05 million at any one time.</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interest rates per annum applicable to the Amended Senior Credit Facility (other than in respect of Swingline Loans) will be SOFR, but in any event, not less than 0.00%, plus the Applicable Rate (as defined below), or, for U.S. dollar denominated loans only, made to the Company at the option of the Company, the Base Rate, defined as the highest of: (a) the Federal Funds Rate plus one-half percent (0.50%); (b) the Bank of America prime rate; and</w:t>
      </w:r>
    </w:p>
    <w:p>
      <w:pPr>
        <w:spacing w:after="0" w:line="1" w:lineRule="exact"/>
        <w:rPr>
          <w:sz w:val="20"/>
          <w:szCs w:val="20"/>
          <w:color w:val="auto"/>
        </w:rPr>
      </w:pPr>
    </w:p>
    <w:p>
      <w:pPr>
        <w:jc w:val="both"/>
        <w:ind w:firstLine="8"/>
        <w:spacing w:after="0" w:line="253" w:lineRule="auto"/>
        <w:tabs>
          <w:tab w:leader="none" w:pos="26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one (1) month SOFR (adjusted daily) plus one percent (1.00%), but in any case not less than 1.00%. plus the Applicable Rate. Applicable Rate means, with respect to the Amended Senior Credit Facility, a percentage per annum to be determined in accordance with the applicable pricing grid set forth in the Amended Senior Credit Facility based upon the Company’s Consolidated Coverage Ratio as reflected in a quarterly Compliance Certificate. Each Swingline Loan shall bear interest at the Base Rate plus the Applicable Rate for Base Rate loans under the New Revolving Credit Facility. As of December 31, 2025, our current interest rate is 6.77%.</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Amended Senior Credit Facility requires the Company to repay principal of the New Term Loan at the rate of 5% of the original principal balance during each of the first two years, 7.5% during the third and fourth years and 10% of the original principal balance during the fifth year. The maturity date on the Amended Senior Credit Facility is August 13, 2026.</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fully expect the refinancing will be completed after completion of the Merger, but before the maturity of Senior Credit Facility. However, there is no assurance that the Company will be able to obtain sufficient additional funds to refinance its maturing facilities occurring within 12 months of the date of the issuance of our financials or that such funds, if available, will be obtainable on terms satisfactory to the Company, and therefore substantial doubt exists about the Company’s ability to continue as a going concern.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prepay the Amended Senior Credit Facility, in whole or in part, at any time without premium or penalty, subject to reimbursement of the Lenders’ breakage and redeployment costs in the case of prepayment of LIBOR borrowings and foreign currency borrowings bearing interest at a rate other than LIBOR. Each such prepayment of the New Term Facility shall be applied as directed by the Company. The unutilized portion of the commitments under the Amended Senior Credit Facility may be irrevocably reduced or terminated by the Company at any time without penalty.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Amended Senior Credit Facility is guaranteed by each existing and future direct and indirect wholly owned material domestic Restricted Subsidiary and foreign Restricted Subsidiary of the Company (other than any Brazilian subsidiary). The Amended Senior Credit Facility is secured by substantially all assets of the Company and its material domestic Restricted Subsidiaries, with the exception of real property.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Amended Senior Credit Facility contains various covenants which restrict the Company’s ability to, among other things, incur indebtedness, create liens on our assets, make investments, enter into merger, consolidation or acquisition transactions, dispose of assets (other than in the ordinary course of business), make certain restricted payments, enter into sale and leaseback transactions and transactions with affiliates, in each case subject to permitted exceptions. The Amended Senior Credit Facility also requires that we comply with certain financial covenants, including meeting a consolidated leverage ratio and consolidated fixed charge coverage ratio.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Lines of Credit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its foreign operations, the Company has unsecured lines of credit with various banks providing approximately $12.5 million of availability. There were borrowings of $12.2 million under the lines of credit on December 31, 2025 and $9.9 million as December 31, 2024. As of December 31, 2025, our current interest rate is 3.65%.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and Postretirement Benefits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long-term pension and postretirement benefit liabilities totaled $24.2 million at December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annual cash contributions for U.S. pension liabilities are expected to be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26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Pr>
          <w:p>
            <w:pPr>
              <w:spacing w:after="0"/>
              <w:rPr>
                <w:sz w:val="20"/>
                <w:szCs w:val="20"/>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w:t>
            </w:r>
          </w:p>
        </w:tc>
        <w:tc>
          <w:tcPr>
            <w:tcW w:w="17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675"/>
        </w:trPr>
        <w:tc>
          <w:tcPr>
            <w:tcW w:w="2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aggregate maturities of debt(1), leases and purchase commitments for each of the next five years are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Thereafter</w:t>
            </w:r>
          </w:p>
        </w:tc>
      </w:tr>
      <w:tr>
        <w:trPr>
          <w:trHeight w:val="210"/>
        </w:trPr>
        <w:tc>
          <w:tcPr>
            <w:tcW w:w="1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6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142.0</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w:t>
            </w:r>
          </w:p>
        </w:tc>
        <w:tc>
          <w:tcPr>
            <w:tcW w:w="9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9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8"/>
                <w:szCs w:val="18"/>
                <w:color w:val="auto"/>
              </w:rPr>
            </w:pPr>
          </w:p>
        </w:tc>
      </w:tr>
      <w:tr>
        <w:trPr>
          <w:trHeight w:val="229"/>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0.6</w:t>
            </w:r>
          </w:p>
        </w:tc>
        <w:tc>
          <w:tcPr>
            <w:tcW w:w="9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1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147.6</w:t>
            </w:r>
          </w:p>
        </w:tc>
        <w:tc>
          <w:tcPr>
            <w:tcW w:w="2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aggregate maturities of debt represent amounts to be paid at maturity and not the current carrying value.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reference Footnote 1 in our Notes to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report includes “forward-looking statements.” Forward-looking statements are those that do not relate solely to historical fact. These statements relate to future events or our future financial performance and implicate known and unknown risks, uncertainties and other factors that may cause the actual results, performances or levels of activity of our business or our industry to be materially different from that expressed or implied by any such forward-looking statements. They include, but are not limited to, any statement that may predict, forecast, indicate or imply future results, performance, achievements or events. In some cases, you can identify forward-looking statements by use of words such as “believe,” “anticipate,” “expect,” “estimate,” “intend,” “project,” “plan,” “will,” “would,” “could,” “predict,” “propose,” “potential,” “may” or words or phrases of similar meaning. Statements concerning our financial position, business strategy and measures to implement that strategy, including changes to operations, competitive strengths, goals, plans, references to future success and other similar matters are forward-looking statements. Forward-looking statements may relate to, among other things: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our ability to meet liquidity requirements and to fund necessary capital expenditures;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strength of demand for our products, prices for our products and changes in overall demand;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assessment of market and industry conditions and changes in the relative market shares of industry participants;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consumption patterns and consumer preferences;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effects of competition and competitor responses to our products and services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our ability to realize operating improvements and anticipated cost savings;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pending or future legal proceedings and regulatory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general economic conditions and their effect on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changes in the cost or availability of raw materials and changes in energy prices or other costs;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pricing pressures for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ind w:right="4560"/>
        <w:spacing w:after="0" w:line="500" w:lineRule="auto"/>
        <w:rPr>
          <w:sz w:val="20"/>
          <w:szCs w:val="20"/>
          <w:color w:val="auto"/>
        </w:rPr>
      </w:pPr>
      <w:r>
        <w:rPr>
          <w:rFonts w:ascii="Times New Roman" w:cs="Times New Roman" w:eastAsia="Times New Roman" w:hAnsi="Times New Roman"/>
          <w:sz w:val="18"/>
          <w:szCs w:val="18"/>
          <w:color w:val="auto"/>
        </w:rPr>
        <w:t>·         the cost of and compliance with environmental laws and other governmental regulations; ·         our results of operations for future periods; ·         our anticipated capital expenditures;</w:t>
      </w:r>
    </w:p>
    <w:p>
      <w:pPr>
        <w:spacing w:after="0" w:line="2" w:lineRule="exact"/>
        <w:rPr>
          <w:sz w:val="20"/>
          <w:szCs w:val="20"/>
          <w:color w:val="auto"/>
        </w:rPr>
      </w:pPr>
    </w:p>
    <w:p>
      <w:pPr>
        <w:ind w:right="3140"/>
        <w:spacing w:after="0" w:line="500" w:lineRule="auto"/>
        <w:rPr>
          <w:sz w:val="20"/>
          <w:szCs w:val="20"/>
          <w:color w:val="auto"/>
        </w:rPr>
      </w:pPr>
      <w:r>
        <w:rPr>
          <w:rFonts w:ascii="Times New Roman" w:cs="Times New Roman" w:eastAsia="Times New Roman" w:hAnsi="Times New Roman"/>
          <w:sz w:val="18"/>
          <w:szCs w:val="18"/>
          <w:color w:val="auto"/>
        </w:rPr>
        <w:t>·         our ability to pay, and our intentions with respect to the payment of, dividends on shares of our capital stock; ·         our ability to protect our intellectual property;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economic and industry conditions affecting our customers and suppliers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our ability to identify, complete and integration acquisitions;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our strategy for the future, including opportunities that may be presented to and/or pursued by us.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forward-looking statements are not guarantees of future performance. Forward-looking statements are based on management’s expectations that involve risks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26, 2026 (the “Closing Date”), Viskase Holdings Inc. (formerly known as Enzon Pharmaceuticals, Inc.) (the “Combined Company”) consummated the previously announced transactions pursuant to the Agreement and Plan of Merger, dated as of June 20, 2025, by and among Enzon Pharmaceuticals Inc. (“Enzon”), EPSC Acquisition Corp. (“Merger Sub”) and Viskase Companies, Inc. (“Viskase”), as amended on October 24, 2025. Both the initial and amended Merger Agreement are collectively referred to herein as the Merger Agreement. The transactions contemplated by the Merger Agreement are hereinafter referred to as the “Merger”. The Merger Agreement and related agreements provide for the following:</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Prior to the effective time of the Merger (the “Effective Time”) the following occurred:</w:t>
      </w:r>
    </w:p>
    <w:p>
      <w:pPr>
        <w:spacing w:after="0" w:line="225" w:lineRule="exact"/>
        <w:rPr>
          <w:sz w:val="20"/>
          <w:szCs w:val="20"/>
          <w:color w:val="auto"/>
        </w:rPr>
      </w:pPr>
    </w:p>
    <w:p>
      <w:pPr>
        <w:jc w:val="both"/>
        <w:ind w:left="660" w:hanging="328"/>
        <w:spacing w:after="0" w:line="255"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the execution of the initial Merger Agreement, Icahn Enterprises Holdings L.P. and certain of its affiliates (together, the “IEH Parties”) entered into an initial Support Agreement with Enzon and Viskase which was subsequently amended on October 24, 2025 (as amended, the “IEH Support Agreement”), pursuant to which the IEH Parties agreed to, among other things, and subject to certain exceptions, deliver to Enzon each share of Enzon’s Series C Non-Convertible Redeemable Preferred Stock, par value $0.01 per share (the “Enzon Series C Preferred Stock”)beneficially owned by the IEH Parties in exchange for a number of shares of Enzon Common Stock equal to (i) the aggregate liquidation value of such shares of Enzon Series C Preferred Stock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(ii) the Enzon 20-day volume weighted average price of the Enzon Common Stock.</w:t>
      </w:r>
    </w:p>
    <w:p>
      <w:pPr>
        <w:spacing w:after="0" w:line="188"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pursuant to the terms of the Merger Agreement and the IEH Support Agreement, on March 25, 2026, each share of Enzon Series C Preferred Stock beneficially owned by the IEH Parties was exchanged for shares of Enzon Common Stock at its liquidation value based upon the 20-day volume weighted average price of the Enzon Common Stock prior to execution of the amendment to the Merger Agreement. Accordingly, as of March 25, 2026, 5,658,396 shares of Enzon Common Stock were issued the IEH Parties in respect of the 39,277 shares of Enzon Series C Preferred Stock previously held the IEH Parties.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also required that Enzon use commercially reasonable efforts to commence an exchange offer for the shares of Enzon Series C Preferred Stock that were held by all holders other than the IEH Parties no less than twenty-five (25) business days prior to the Closing Date. Pursuant to this requirement, Enzon commenced, on January 30, 2026, an offer to each holder of Enzon Series C Preferred Stock, other than the IEH Parties, to exchange each such share of Enzon Series C Preferred Stock for a number of shares of Enzon Common Stock equal to (i) the aggregate liquidation value of the share divided by (ii) $7.83, which reflects the Enzon 20-Day volume weighted average price calculated in accordance with the Merger Agreement (the “Series C Exchange Offer”).</w:t>
      </w:r>
    </w:p>
    <w:p>
      <w:pPr>
        <w:spacing w:after="0" w:line="187"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723 shares of Enzon Series C Preferred Stock held by non-IEH Parties, holders of 339 shares elected to participate in the Series C Exchange Offer and exchanged such shares for shares of Enzon Common Stock. The holders of the remaining 384 shares of Enzon Series C Preferred Stock did not elect to exchange their shares, and those shares remained outstanding following the Closing Date.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11, 2026, a majority of the holders of Enzon Common Stock approved the 1-for-100 reverse stock split (the “Reverse Stock Split”). On March 24, 2026, Enzon effectuated the Reverse Stock Split pursuant to which every one hundred (100) shares of Enzon’s issued and outstanding shares of Enzon Common Stock were combined into one (1) share of Enzon Common Stock.</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25, 2026, the post-Reverse Stock Split shares of Enzon Common Stock began trading on the OTCQB. The Enzon Common Stock traded under the symbol “ENZND” for a temporary period which ended on the close of business on April 22. 2026. After the end of the temporary period, the Company reverted back to its original trading symbol of “ENZN” commencing on April 23, 2026. The Company intends on or around July 21, 2026, the earliest date on which it is able, to request to change its trading symbol to “VKSE” to better align with its current name and operations. In addition, the Company continues to work with the OTC in order to secure its continued listing on the OTCQB in connection with its re-application following the Merger, although there can be no assurance that the Company will be able to secure the trading symbol “VKSE” or its continued listing on the OTCQB.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1" w:name="page62"/>
    <w:bookmarkEnd w:id="61"/>
    <w:p>
      <w:pPr>
        <w:ind w:left="340"/>
        <w:spacing w:after="0"/>
        <w:rPr>
          <w:sz w:val="20"/>
          <w:szCs w:val="20"/>
          <w:color w:val="auto"/>
        </w:rPr>
      </w:pPr>
      <w:r>
        <w:rPr>
          <w:rFonts w:ascii="Times New Roman" w:cs="Times New Roman" w:eastAsia="Times New Roman" w:hAnsi="Times New Roman"/>
          <w:sz w:val="18"/>
          <w:szCs w:val="18"/>
          <w:color w:val="auto"/>
        </w:rPr>
        <w:t>At the Effective Time, the following occurred:</w:t>
      </w:r>
    </w:p>
    <w:p>
      <w:pPr>
        <w:spacing w:after="0" w:line="225" w:lineRule="exact"/>
        <w:rPr>
          <w:sz w:val="20"/>
          <w:szCs w:val="20"/>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merged with and into Viskase, with Viskase surviving the Merger as a wholly owned subsidiary of Enzon and the separate corporate existence of Merger Sub ceased.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Viskase Common Stock issued and outstanding immediately prior to the Merger (other than shares held by holders that properly exercise dissenters rights, shares held in treasury, and shares held by Enzon) was automatically converted into the right to receive 0.049118 shares of Enzon Common Stock.</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Promptly after the Effective Time, the following occurred:</w:t>
      </w:r>
    </w:p>
    <w:p>
      <w:pPr>
        <w:spacing w:after="0" w:line="225" w:lineRule="exact"/>
        <w:rPr>
          <w:sz w:val="20"/>
          <w:szCs w:val="20"/>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Enzon filed a Certificate of Amendment to its Amended and Restated Certificate of Incorporation with the Secretary of State of Delaware to change its name to “Viskase Holdings, Inc.”</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Enzon caused Viskase, to be converted from a Delaware corporation into a Delaware limited liability company through a statutory conversion permitted under Delaware law. The corporate existence of Viskase continued unaffected and unimpaired by the conversion, except that, upon the consummation of the conversion, all of the outstanding shares of Viskase Common Stock were converted into limited liability company interests. Because Viskase was a wholly owned subsidiary of Enzon at the Effective Time, Enzon became the sole member of Viskase following the conversion.</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refers to Enzon, which was renamed Viskase Holdings, Inc. in connection with the Closing. The designation as the Combined Company reflects the post-Merger structure, but the underlying corporate entity and share structure remain unchanged from Enzon prior to the Effective Time. The Combined Company remains the same legal entity as Enzon, with no changes to its authorized shares, par value or issued and outstanding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Ratio</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At the Effective Time, each outstanding share of Viskase Common Stock (other than shares of Viskase Common Stock (i) held by Viskase as treasury shares, (ii) owned by Enzon, Merger Sub or a wholly owned subsidiary of Viskase, Enzon or Merger Sub immediately prior to the Effective time and</w:t>
      </w:r>
    </w:p>
    <w:p>
      <w:pPr>
        <w:jc w:val="both"/>
        <w:ind w:firstLine="8"/>
        <w:spacing w:after="0" w:line="255" w:lineRule="auto"/>
        <w:tabs>
          <w:tab w:leader="none" w:pos="32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dissenting Viskase shareholders) automatically converted into the right to receive a number of shares of Enzon Common Stock equal to the Exchange Ratio (as defined in the Merger Agreement). The Exchange Ratio is calculated as (i) the Viskase Closing Share Number (as defined in the Merger Agreement)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number of issued and outstanding shares of Viskase Common Stock immediately prior to the Effective Time.</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tables below present the calculation of the Exchange Ratio and related calculations:</w:t>
      </w:r>
    </w:p>
    <w:p>
      <w:pPr>
        <w:spacing w:after="0" w:line="239" w:lineRule="exact"/>
        <w:rPr>
          <w:sz w:val="20"/>
          <w:szCs w:val="20"/>
          <w:color w:val="auto"/>
        </w:rPr>
      </w:pPr>
    </w:p>
    <w:p>
      <w:pPr>
        <w:ind w:left="10280"/>
        <w:spacing w:after="0"/>
        <w:rPr>
          <w:sz w:val="20"/>
          <w:szCs w:val="20"/>
          <w:color w:val="auto"/>
        </w:rPr>
      </w:pPr>
      <w:r>
        <w:rPr>
          <w:rFonts w:ascii="Times New Roman" w:cs="Times New Roman" w:eastAsia="Times New Roman" w:hAnsi="Times New Roman"/>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6917690"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6917690" cy="16319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ind w:left="340"/>
        <w:spacing w:after="0" w:line="205" w:lineRule="auto"/>
        <w:rPr>
          <w:sz w:val="20"/>
          <w:szCs w:val="20"/>
          <w:color w:val="auto"/>
        </w:rPr>
      </w:pPr>
      <w:r>
        <w:rPr>
          <w:rFonts w:ascii="Times New Roman" w:cs="Times New Roman" w:eastAsia="Times New Roman" w:hAnsi="Times New Roman"/>
          <w:sz w:val="18"/>
          <w:szCs w:val="18"/>
          <w:color w:val="auto"/>
        </w:rPr>
        <w:t>Viskase Closing Share Number</w:t>
      </w:r>
      <w:r>
        <w:rPr>
          <w:rFonts w:ascii="Times New Roman" w:cs="Times New Roman" w:eastAsia="Times New Roman" w:hAnsi="Times New Roman"/>
          <w:sz w:val="29"/>
          <w:szCs w:val="29"/>
          <w:color w:val="auto"/>
          <w:vertAlign w:val="superscript"/>
        </w:rPr>
        <w:t>(1)</w:t>
      </w:r>
    </w:p>
    <w:p>
      <w:pPr>
        <w:spacing w:after="0" w:line="1" w:lineRule="exact"/>
        <w:rPr>
          <w:sz w:val="20"/>
          <w:szCs w:val="20"/>
          <w:color w:val="auto"/>
        </w:rPr>
      </w:pPr>
    </w:p>
    <w:p>
      <w:pPr>
        <w:ind w:left="340" w:right="1320"/>
        <w:spacing w:after="0" w:line="274" w:lineRule="auto"/>
        <w:rPr>
          <w:sz w:val="20"/>
          <w:szCs w:val="20"/>
          <w:color w:val="auto"/>
        </w:rPr>
      </w:pPr>
      <w:r>
        <w:rPr>
          <w:rFonts w:ascii="Times New Roman" w:cs="Times New Roman" w:eastAsia="Times New Roman" w:hAnsi="Times New Roman"/>
          <w:sz w:val="18"/>
          <w:szCs w:val="18"/>
          <w:color w:val="auto"/>
        </w:rPr>
        <w:t>Number of issued and outstanding shares of Viskase Common Stock immediately prior to the Effective Time Exchange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-154940</wp:posOffset>
            </wp:positionV>
            <wp:extent cx="6917690"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6917690" cy="163195"/>
                    </a:xfrm>
                    <a:prstGeom prst="rect">
                      <a:avLst/>
                    </a:prstGeom>
                    <a:noFill/>
                  </pic:spPr>
                </pic:pic>
              </a:graphicData>
            </a:graphic>
          </wp:anchor>
        </w:drawing>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The Viskase Closing Share Number is calculated as follows, pursuant to the terms of the Merger Agreement:</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7,882,387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160,479,226</w:t>
      </w:r>
    </w:p>
    <w:p>
      <w:pPr>
        <w:spacing w:after="0" w:line="31"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0.049118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34290</wp:posOffset>
            </wp:positionV>
            <wp:extent cx="7543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Shares</w:t>
      </w:r>
    </w:p>
    <w:p>
      <w:pPr>
        <w:spacing w:after="0" w:line="27" w:lineRule="exact"/>
        <w:rPr>
          <w:sz w:val="20"/>
          <w:szCs w:val="20"/>
          <w:color w:val="auto"/>
        </w:rPr>
      </w:pPr>
    </w:p>
    <w:p>
      <w:pPr>
        <w:sectPr>
          <w:pgSz w:w="11900" w:h="16838" w:orient="portrait"/>
          <w:cols w:equalWidth="0" w:num="2">
            <w:col w:w="9500" w:space="720"/>
            <w:col w:w="1020"/>
          </w:cols>
          <w:pgMar w:left="320" w:top="904" w:right="339" w:bottom="1440" w:gutter="0" w:footer="0" w:header="0"/>
          <w:type w:val="continuous"/>
        </w:sectPr>
      </w:pPr>
    </w:p>
    <w:tbl>
      <w:tblPr>
        <w:tblLayout w:type="fixed"/>
        <w:tblInd w:w="340" w:type="dxa"/>
        <w:tblCellMar>
          <w:top w:w="0" w:type="dxa"/>
          <w:left w:w="0" w:type="dxa"/>
          <w:bottom w:w="0" w:type="dxa"/>
          <w:right w:w="0" w:type="dxa"/>
        </w:tblCellMar>
      </w:tblPr>
      <w:tr>
        <w:trPr>
          <w:trHeight w:val="236"/>
        </w:trPr>
        <w:tc>
          <w:tcPr>
            <w:tcW w:w="9600" w:type="dxa"/>
            <w:vAlign w:val="bottom"/>
            <w:tcBorders>
              <w:top w:val="single" w:sz="8" w:color="CCEEFF"/>
            </w:tcBorders>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Enzon Common Stock outstanding subsequent to the Reverse Stock Split</w:t>
            </w:r>
            <w:r>
              <w:rPr>
                <w:rFonts w:ascii="Times New Roman" w:cs="Times New Roman" w:eastAsia="Times New Roman" w:hAnsi="Times New Roman"/>
                <w:sz w:val="27"/>
                <w:szCs w:val="27"/>
                <w:color w:val="auto"/>
                <w:vertAlign w:val="superscript"/>
              </w:rPr>
              <w:t>(1)</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742,005</w:t>
            </w: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r>
      <w:tr>
        <w:trPr>
          <w:trHeight w:val="257"/>
        </w:trPr>
        <w:tc>
          <w:tcPr>
            <w:tcW w:w="96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Enzon Common Stock issued in IEH Share Exchange</w:t>
            </w:r>
            <w:r>
              <w:rPr>
                <w:rFonts w:ascii="Times New Roman" w:cs="Times New Roman" w:eastAsia="Times New Roman" w:hAnsi="Times New Roman"/>
                <w:sz w:val="29"/>
                <w:szCs w:val="29"/>
                <w:color w:val="auto"/>
                <w:vertAlign w:val="superscript"/>
              </w:rPr>
              <w:t>(2)</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5,658,396</w:t>
            </w:r>
          </w:p>
        </w:tc>
        <w:tc>
          <w:tcPr>
            <w:tcW w:w="80" w:type="dxa"/>
            <w:vAlign w:val="bottom"/>
          </w:tcPr>
          <w:p>
            <w:pPr>
              <w:spacing w:after="0"/>
              <w:rPr>
                <w:sz w:val="22"/>
                <w:szCs w:val="22"/>
                <w:color w:val="auto"/>
              </w:rPr>
            </w:pPr>
          </w:p>
        </w:tc>
      </w:tr>
      <w:tr>
        <w:trPr>
          <w:trHeight w:val="270"/>
        </w:trPr>
        <w:tc>
          <w:tcPr>
            <w:tcW w:w="960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Enzon Common Stock issued in Series C Exchange Offer</w:t>
            </w:r>
            <w:r>
              <w:rPr>
                <w:rFonts w:ascii="Times New Roman" w:cs="Times New Roman" w:eastAsia="Times New Roman" w:hAnsi="Times New Roman"/>
                <w:sz w:val="29"/>
                <w:szCs w:val="29"/>
                <w:color w:val="auto"/>
                <w:vertAlign w:val="superscript"/>
              </w:rPr>
              <w:t>(2)</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48,832</w:t>
            </w:r>
          </w:p>
        </w:tc>
        <w:tc>
          <w:tcPr>
            <w:tcW w:w="80" w:type="dxa"/>
            <w:vAlign w:val="bottom"/>
            <w:shd w:val="clear" w:color="auto" w:fill="CCEEFF"/>
          </w:tcPr>
          <w:p>
            <w:pPr>
              <w:spacing w:after="0"/>
              <w:rPr>
                <w:sz w:val="23"/>
                <w:szCs w:val="23"/>
                <w:color w:val="auto"/>
              </w:rPr>
            </w:pPr>
          </w:p>
        </w:tc>
      </w:tr>
      <w:tr>
        <w:trPr>
          <w:trHeight w:val="209"/>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Shares of Enzon Common Stock issued and outstanding immediately prior to the Effective Time</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6,449,233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9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 xml:space="preserve">Divided by: </w:t>
            </w:r>
            <w:r>
              <w:rPr>
                <w:rFonts w:ascii="Times New Roman" w:cs="Times New Roman" w:eastAsia="Times New Roman" w:hAnsi="Times New Roman"/>
                <w:sz w:val="18"/>
                <w:szCs w:val="18"/>
                <w:color w:val="auto"/>
              </w:rPr>
              <w:t>0.45</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0.4500</w:t>
            </w:r>
          </w:p>
        </w:tc>
        <w:tc>
          <w:tcPr>
            <w:tcW w:w="80" w:type="dxa"/>
            <w:vAlign w:val="bottom"/>
            <w:shd w:val="clear" w:color="auto" w:fill="CCEEFF"/>
          </w:tcPr>
          <w:p>
            <w:pPr>
              <w:spacing w:after="0"/>
              <w:rPr>
                <w:sz w:val="19"/>
                <w:szCs w:val="19"/>
                <w:color w:val="auto"/>
              </w:rPr>
            </w:pPr>
          </w:p>
        </w:tc>
      </w:tr>
      <w:tr>
        <w:trPr>
          <w:trHeight w:val="210"/>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Total Closing Share Number</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14,331,620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9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 xml:space="preserve">Minus: </w:t>
            </w:r>
            <w:r>
              <w:rPr>
                <w:rFonts w:ascii="Times New Roman" w:cs="Times New Roman" w:eastAsia="Times New Roman" w:hAnsi="Times New Roman"/>
                <w:sz w:val="18"/>
                <w:szCs w:val="18"/>
                <w:color w:val="auto"/>
              </w:rPr>
              <w:t>Number of shares of Enzon Common Stock issued and outstanding immediately prior to the Effective Time</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(6,449,233)</w:t>
            </w:r>
          </w:p>
        </w:tc>
      </w:tr>
      <w:tr>
        <w:trPr>
          <w:trHeight w:val="223"/>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Viskase Closing Share Number</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7,882,387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6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742,005 shares of Enzon Common Stock issued to the current holders of Enzon Common Stock following the Reverse Stock Split. The 74,214,603 shares of Enzon Common Stock were be adjusted using a 1-for-100 Reverse Stock Split ratio.</w:t>
      </w:r>
    </w:p>
    <w:p>
      <w:pPr>
        <w:ind w:left="660" w:hanging="328"/>
        <w:spacing w:after="0" w:line="26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Enzon Common Stock issued in the IEH Share Exchange and the Series C Exchange Offer is determined as follows, pursuant to the Merger Agreement and IEH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62" w:name="page63"/>
    <w:bookmarkEnd w:id="62"/>
    <w:tbl>
      <w:tblPr>
        <w:tblLayout w:type="fixed"/>
        <w:tblInd w:w="340" w:type="dxa"/>
        <w:tblCellMar>
          <w:top w:w="0" w:type="dxa"/>
          <w:left w:w="0" w:type="dxa"/>
          <w:bottom w:w="0" w:type="dxa"/>
          <w:right w:w="0" w:type="dxa"/>
        </w:tblCellMar>
      </w:tblPr>
      <w:tr>
        <w:trPr>
          <w:trHeight w:val="333"/>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Liquidation Preference of Enzon Series C Preferred Stock held by IEH Parties</w:t>
            </w:r>
            <w:r>
              <w:rPr>
                <w:rFonts w:ascii="Times New Roman" w:cs="Times New Roman" w:eastAsia="Times New Roman" w:hAnsi="Times New Roman"/>
                <w:sz w:val="29"/>
                <w:szCs w:val="29"/>
                <w:color w:val="auto"/>
                <w:vertAlign w:val="superscript"/>
              </w:rPr>
              <w:t>(1)</w:t>
            </w: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44,305,242</w:t>
            </w:r>
          </w:p>
        </w:tc>
      </w:tr>
      <w:tr>
        <w:trPr>
          <w:trHeight w:val="270"/>
        </w:trPr>
        <w:tc>
          <w:tcPr>
            <w:tcW w:w="810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Enzon 20-day volume weighted average price</w:t>
            </w:r>
            <w:r>
              <w:rPr>
                <w:rFonts w:ascii="Times New Roman" w:cs="Times New Roman" w:eastAsia="Times New Roman" w:hAnsi="Times New Roman"/>
                <w:sz w:val="29"/>
                <w:szCs w:val="29"/>
                <w:color w:val="auto"/>
                <w:vertAlign w:val="superscript"/>
              </w:rPr>
              <w:t>(2)</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w:t>
            </w:r>
          </w:p>
        </w:tc>
      </w:tr>
      <w:tr>
        <w:trPr>
          <w:trHeight w:val="223"/>
        </w:trPr>
        <w:tc>
          <w:tcPr>
            <w:tcW w:w="8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Enzon Common Stock issued in IEH Share Exchange</w:t>
            </w: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5,658,396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hanging="328"/>
        <w:spacing w:after="0" w:line="255"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Liquidation Preference of Enzon Series C Preferred Stock held by IEH Parties is calculated as (A) (i) the historical Liquidation Preference of $1,115 per share as of December 31, 2025, plus (ii) the prorated 5% annual increase in the Liquidation Preference per share from December 31, 2025 through the exchange date, of approximately $13 per share (resulting in a Liquidation Preference per share of $1,128 as of the exchange date), pursuant to the Certificate of Designation of Series C Non-Convertible Redeemable Preferred Stock of Enzon, multiplied by</w:t>
      </w:r>
    </w:p>
    <w:p>
      <w:pPr>
        <w:spacing w:after="0" w:line="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number of shares of Enzon Series C Preferred Stock beneficially owned by IEH Parties.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3(i) for the calculation of the Enzon 20-day volume weighted average price in the 1-for-100 Reverse Stock Split.</w:t>
      </w:r>
    </w:p>
    <w:p>
      <w:pPr>
        <w:spacing w:after="0" w:line="148" w:lineRule="exact"/>
        <w:rPr>
          <w:sz w:val="20"/>
          <w:szCs w:val="20"/>
          <w:color w:val="auto"/>
        </w:rPr>
      </w:pPr>
    </w:p>
    <w:tbl>
      <w:tblPr>
        <w:tblLayout w:type="fixed"/>
        <w:tblInd w:w="340" w:type="dxa"/>
        <w:tblCellMar>
          <w:top w:w="0" w:type="dxa"/>
          <w:left w:w="0" w:type="dxa"/>
          <w:bottom w:w="0" w:type="dxa"/>
          <w:right w:w="0" w:type="dxa"/>
        </w:tblCellMar>
      </w:tblPr>
      <w:tr>
        <w:trPr>
          <w:trHeight w:val="333"/>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Liquidation Preference of Enzon Series C Preferred Stock held by non-IEH Parties</w:t>
            </w:r>
            <w:r>
              <w:rPr>
                <w:rFonts w:ascii="Times New Roman" w:cs="Times New Roman" w:eastAsia="Times New Roman" w:hAnsi="Times New Roman"/>
                <w:sz w:val="29"/>
                <w:szCs w:val="29"/>
                <w:color w:val="auto"/>
                <w:vertAlign w:val="superscript"/>
              </w:rPr>
              <w:t>(1)</w:t>
            </w:r>
          </w:p>
        </w:tc>
        <w:tc>
          <w:tcPr>
            <w:tcW w:w="1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382,399</w:t>
            </w:r>
          </w:p>
        </w:tc>
      </w:tr>
      <w:tr>
        <w:trPr>
          <w:trHeight w:val="270"/>
        </w:trPr>
        <w:tc>
          <w:tcPr>
            <w:tcW w:w="82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Enzon 20-day volume weighted average price</w:t>
            </w:r>
            <w:r>
              <w:rPr>
                <w:rFonts w:ascii="Times New Roman" w:cs="Times New Roman" w:eastAsia="Times New Roman" w:hAnsi="Times New Roman"/>
                <w:sz w:val="29"/>
                <w:szCs w:val="29"/>
                <w:color w:val="auto"/>
                <w:vertAlign w:val="superscript"/>
              </w:rPr>
              <w:t>(2)</w:t>
            </w: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w:t>
            </w:r>
          </w:p>
        </w:tc>
      </w:tr>
      <w:tr>
        <w:trPr>
          <w:trHeight w:val="223"/>
        </w:trPr>
        <w:tc>
          <w:tcPr>
            <w:tcW w:w="8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Enzon Common Stock issued in Series C Exchange Offer</w:t>
            </w:r>
          </w:p>
        </w:tc>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hanging="328"/>
        <w:spacing w:after="0" w:line="255"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Liquidation Preference of Enzon Series C Preferred Stock held by non-IEH Parties is calculated as (A) (i) the historical Liquidation Preference of $1,115 per share as of December 31, 2025, plus (ii) the prorated 5% annual increase in the Liquidation Preference per share from December 31, 2025 through the exchange date of approximately $13 per share (resulting in a Liquidation Preference per share of $1,128 as of the exchange date) pursuant to the Certificate of Designation of Series C Non-Convertible Redeemable Preferred Stock of Enzon, multiplied by</w:t>
      </w:r>
    </w:p>
    <w:p>
      <w:pPr>
        <w:spacing w:after="0" w:line="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number of shares of Enzon Series C Preferred Stock beneficially owned by non-IEH Parties.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3(i) for the calculation of the Enzon 20-day volume weighted average price in the 1-for-100 Reverse Stock Split.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Viskase Securities Purchase Agreement</w:t>
      </w:r>
    </w:p>
    <w:p>
      <w:pPr>
        <w:spacing w:after="0" w:line="229" w:lineRule="exact"/>
        <w:rPr>
          <w:sz w:val="20"/>
          <w:szCs w:val="20"/>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2026, Viskase entered into a securities purchase agreement (the “Securities Purchase Agreement”) with American Entertainment Properties Corp., an affiliate of Carl C. Icahn (“AEP”), pursuant to which it issued and sold 25,862,069 shares of its common stock at a purchase price of $0.58 per share, resulting in aggregate cash proceeds of approximately $15.0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Material Events</w:t>
      </w:r>
    </w:p>
    <w:p>
      <w:pPr>
        <w:spacing w:after="0" w:line="229" w:lineRule="exact"/>
        <w:rPr>
          <w:sz w:val="20"/>
          <w:szCs w:val="20"/>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Merger Agreement, Enzon was required to have Cash on Hand as of the Closing Date of an amount that is equal to the Minimum Cash Condition, which is defined as an amount equal to or greater than $40,000,000.</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on March 26, 2026, Enzon had $40.9 million of Cash on Hand, which satisfied the Minimum Cash Condition.</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order to reflect that the Minimum Cash Condition was satisfied as of the Closing Date, the unaudited pro forma condensed combined balance sheet has been adjusted to reflect changes to Enzon’s Cash on Hand from December 31, 2025 through the Closing Date. These adjustments include:</w:t>
      </w:r>
    </w:p>
    <w:p>
      <w:pPr>
        <w:spacing w:after="0" w:line="176" w:lineRule="exact"/>
        <w:rPr>
          <w:sz w:val="20"/>
          <w:szCs w:val="20"/>
          <w:color w:val="auto"/>
        </w:rPr>
      </w:pPr>
    </w:p>
    <w:p>
      <w:pPr>
        <w:ind w:left="1960" w:right="20" w:hanging="332"/>
        <w:spacing w:after="0" w:line="282" w:lineRule="auto"/>
        <w:tabs>
          <w:tab w:leader="none" w:pos="19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interest and dividend income earned on Enzon’s invested cash and cash equivalents from January 1, 2026 through the Closing on March 26, 2026 of $0.4 million.</w:t>
      </w:r>
    </w:p>
    <w:p>
      <w:pPr>
        <w:spacing w:after="0" w:line="161" w:lineRule="exact"/>
        <w:rPr>
          <w:rFonts w:ascii="Times New Roman" w:cs="Times New Roman" w:eastAsia="Times New Roman" w:hAnsi="Times New Roman"/>
          <w:sz w:val="18"/>
          <w:szCs w:val="18"/>
          <w:color w:val="auto"/>
        </w:rPr>
      </w:pPr>
    </w:p>
    <w:p>
      <w:pPr>
        <w:ind w:left="1960" w:hanging="332"/>
        <w:spacing w:after="0" w:line="282" w:lineRule="auto"/>
        <w:tabs>
          <w:tab w:leader="none" w:pos="19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cash disbursements for Enzon’s general and administrative costs from January 1, 2026 through the Closing Date on March 26, 2026 of $0.4 million.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26, 2025, Viskase announced a plan to cease production in its plant in Osceola, Arkansas, with the operations ceasing effective April 30, 2025 (the “Plant Closure”) with winddown activities continuing through June 2025. In connection with the Plant Closure, Viskase moved the equipment and personnel from the Osceola plant to existing sites to maintain a materially similar company-wide productive capacity after the Plant Closure. Viskase settled the remaining $0.2 million of accrued plant restructuring costs prior to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Additional Information Related to the Unaudited Pro Forma Condensed Combined Financial Information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based on Enzon’s and Viskase’s historical financial statements as adjusted to give effect to the Merger, and the events described above in the sections “</w:t>
      </w:r>
      <w:r>
        <w:rPr>
          <w:rFonts w:ascii="Times New Roman" w:cs="Times New Roman" w:eastAsia="Times New Roman" w:hAnsi="Times New Roman"/>
          <w:sz w:val="18"/>
          <w:szCs w:val="18"/>
          <w:i w:val="1"/>
          <w:iCs w:val="1"/>
          <w:color w:val="auto"/>
        </w:rPr>
        <w:t>Viskase Securities Purchase Agreement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Other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Events.</w:t>
      </w:r>
      <w:r>
        <w:rPr>
          <w:rFonts w:ascii="Times New Roman" w:cs="Times New Roman" w:eastAsia="Times New Roman" w:hAnsi="Times New Roman"/>
          <w:sz w:val="18"/>
          <w:szCs w:val="18"/>
          <w:color w:val="auto"/>
        </w:rPr>
        <w:t>” The unaudited pro forma condensed combined balance sheet as of December 31, 2025 gives pro forma effect to the Merger as if it had occurred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2025. The unaudited pro forma condensed combined statement of operations for the year ended December 31, 2025 reflects adjustments assuming that any adjustments that were made to the unaudited pro forma condensed combined balance sheet as of December 31, 2025 are assumed to have been made on January 1, 2025 for the purpose of adjusting the unaudited pro forma condensed combined statement of operations.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derived from and should be read in conjunction with:</w:t>
      </w:r>
    </w:p>
    <w:p>
      <w:pPr>
        <w:spacing w:after="0" w:line="22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information;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Enzon as of and for the year ended December 31, 2025 and the related notes included in Enzon’s Form 10-K filed with the SEC;</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Viskase as of and for the year ended December 31, 2025 and the related notes included elsewhere in this Form 8-K/A; and</w:t>
      </w:r>
    </w:p>
    <w:p>
      <w:pPr>
        <w:spacing w:after="0" w:line="159" w:lineRule="exact"/>
        <w:rPr>
          <w:rFonts w:ascii="Times New Roman" w:cs="Times New Roman" w:eastAsia="Times New Roman" w:hAnsi="Times New Roman"/>
          <w:sz w:val="18"/>
          <w:szCs w:val="18"/>
          <w:color w:val="auto"/>
        </w:rPr>
      </w:pPr>
    </w:p>
    <w:p>
      <w:pPr>
        <w:jc w:val="both"/>
        <w:ind w:left="660" w:right="20" w:hanging="328"/>
        <w:spacing w:after="0" w:line="267"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information relating to Enzon and Viskase contained in Enzon’s Form 10-K, “</w:t>
      </w:r>
      <w:r>
        <w:rPr>
          <w:rFonts w:ascii="Times New Roman" w:cs="Times New Roman" w:eastAsia="Times New Roman" w:hAnsi="Times New Roman"/>
          <w:sz w:val="18"/>
          <w:szCs w:val="18"/>
          <w:i w:val="1"/>
          <w:iCs w:val="1"/>
          <w:color w:val="auto"/>
        </w:rPr>
        <w:t>Enzon’s 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w:t>
      </w:r>
      <w:r>
        <w:rPr>
          <w:rFonts w:ascii="Times New Roman" w:cs="Times New Roman" w:eastAsia="Times New Roman" w:hAnsi="Times New Roman"/>
          <w:sz w:val="18"/>
          <w:szCs w:val="18"/>
          <w:color w:val="auto"/>
        </w:rPr>
        <w:t>,” and Viskase’s annual report attached to this Form 8-K/A, “</w:t>
      </w:r>
      <w:r>
        <w:rPr>
          <w:rFonts w:ascii="Times New Roman" w:cs="Times New Roman" w:eastAsia="Times New Roman" w:hAnsi="Times New Roman"/>
          <w:sz w:val="18"/>
          <w:szCs w:val="18"/>
          <w:i w:val="1"/>
          <w:iCs w:val="1"/>
          <w:color w:val="auto"/>
        </w:rPr>
        <w:t>Viskase’s 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provided for illustrative purposes only and is not necessarily indicative of what the actual results of operations and financial position would have been had the Closing and the events described above in the sections “</w:t>
      </w:r>
      <w:r>
        <w:rPr>
          <w:rFonts w:ascii="Times New Roman" w:cs="Times New Roman" w:eastAsia="Times New Roman" w:hAnsi="Times New Roman"/>
          <w:sz w:val="18"/>
          <w:szCs w:val="18"/>
          <w:i w:val="1"/>
          <w:iCs w:val="1"/>
          <w:color w:val="auto"/>
        </w:rPr>
        <w:t>Viskase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Purchase Agreement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Other Material Events</w:t>
      </w:r>
      <w:r>
        <w:rPr>
          <w:rFonts w:ascii="Times New Roman" w:cs="Times New Roman" w:eastAsia="Times New Roman" w:hAnsi="Times New Roman"/>
          <w:sz w:val="18"/>
          <w:szCs w:val="18"/>
          <w:color w:val="auto"/>
        </w:rPr>
        <w:t>” taken place on the dates indicated, nor are they indicative of the future consolidated results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or financial position of Enzon. The unaudited pro forma adjustments are based on information currently available, and assumptions and estimates underlying the unaudited pro forma adjustments are described in the accompanying notes to the unaudited pro forma condensed combined financial information. If the actual facts are different than these assumptions, the amounts and shares outstanding in the unaudited pro forma condensed combined financial information that follows will be different, and those changes could be material.</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where the context otherwise indicates, the information concerning Enzon contained in or incorporated by reference into this unaudited pro forma condensed combined financial information has been provided by Enzon, and the information concerning Viskase contained in this unaudited pro forma condensed combined financial information has been provided by Viskase.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60" w:type="dxa"/>
            <w:vAlign w:val="bottom"/>
            <w:gridSpan w:val="22"/>
          </w:tcPr>
          <w:p>
            <w:pPr>
              <w:ind w:left="8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 AS OF DECEMBER 31, 2025</w:t>
            </w: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Enzon</w:t>
            </w:r>
          </w:p>
        </w:tc>
        <w:tc>
          <w:tcPr>
            <w:tcW w:w="120" w:type="dxa"/>
            <w:vAlign w:val="bottom"/>
          </w:tcPr>
          <w:p>
            <w:pPr>
              <w:spacing w:after="0"/>
              <w:rPr>
                <w:sz w:val="24"/>
                <w:szCs w:val="2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Viskase</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Viskase</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Other</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Pro</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0" w:type="dxa"/>
            <w:vAlign w:val="bottom"/>
          </w:tcPr>
          <w:p>
            <w:pPr>
              <w:spacing w:after="0"/>
              <w:rPr>
                <w:sz w:val="18"/>
                <w:szCs w:val="18"/>
                <w:color w:val="auto"/>
              </w:rPr>
            </w:pPr>
          </w:p>
        </w:tc>
        <w:tc>
          <w:tcPr>
            <w:tcW w:w="15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Pharmaceuticals,</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Companies,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for Other</w:t>
            </w: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Forma</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except for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4"/>
              </w:rPr>
              <w:t>Inc.</w:t>
            </w: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Purchase</w:t>
            </w: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Material</w:t>
            </w: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Accounting</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share data)</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2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60" w:type="dxa"/>
            <w:vAlign w:val="bottom"/>
          </w:tcPr>
          <w:p>
            <w:pPr>
              <w:spacing w:after="0"/>
              <w:rPr>
                <w:sz w:val="20"/>
                <w:szCs w:val="20"/>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Events</w:t>
            </w: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Sheet</w:t>
            </w:r>
          </w:p>
        </w:tc>
        <w:tc>
          <w:tcPr>
            <w:tcW w:w="0" w:type="dxa"/>
            <w:vAlign w:val="bottom"/>
          </w:tcPr>
          <w:p>
            <w:pPr>
              <w:spacing w:after="0"/>
              <w:rPr>
                <w:sz w:val="1"/>
                <w:szCs w:val="1"/>
                <w:color w:val="auto"/>
              </w:rPr>
            </w:pPr>
          </w:p>
        </w:tc>
      </w:tr>
      <w:tr>
        <w:trPr>
          <w:trHeight w:val="209"/>
        </w:trPr>
        <w:tc>
          <w:tcPr>
            <w:tcW w:w="1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Current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and cash</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3(aaa)</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3(aa)</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3(a)</w:t>
            </w: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equivalents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42,574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9,217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1080" w:type="dxa"/>
            <w:vAlign w:val="bottom"/>
            <w:gridSpan w:val="2"/>
            <w:vMerge w:val="continue"/>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362</w:t>
            </w:r>
          </w:p>
        </w:tc>
        <w:tc>
          <w:tcPr>
            <w:tcW w:w="108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(1,314)</w:t>
            </w:r>
          </w:p>
        </w:tc>
        <w:tc>
          <w:tcPr>
            <w:tcW w:w="740" w:type="dxa"/>
            <w:vAlign w:val="bottom"/>
            <w:gridSpan w:val="2"/>
            <w:vMerge w:val="continue"/>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53,062</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(392)</w:t>
            </w:r>
          </w:p>
        </w:tc>
        <w:tc>
          <w:tcPr>
            <w:tcW w:w="108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3(bb)</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c>
          <w:tcPr>
            <w:tcW w:w="1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3(cc)</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(375)</w:t>
            </w:r>
          </w:p>
        </w:tc>
        <w:tc>
          <w:tcPr>
            <w:tcW w:w="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3(e)</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(607)</w:t>
            </w: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3(b)</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(11,250)</w:t>
            </w:r>
          </w:p>
        </w:tc>
        <w:tc>
          <w:tcPr>
            <w:tcW w:w="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3(d)</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Receivables,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net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60,182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60,182</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Inventories, net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96,755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96,755</w:t>
            </w:r>
          </w:p>
        </w:tc>
        <w:tc>
          <w:tcPr>
            <w:tcW w:w="0" w:type="dxa"/>
            <w:vAlign w:val="bottom"/>
          </w:tcPr>
          <w:p>
            <w:pPr>
              <w:spacing w:after="0"/>
              <w:rPr>
                <w:sz w:val="1"/>
                <w:szCs w:val="1"/>
                <w:color w:val="auto"/>
              </w:rPr>
            </w:pPr>
          </w:p>
        </w:tc>
      </w:tr>
      <w:tr>
        <w:trPr>
          <w:trHeight w:val="198"/>
        </w:trPr>
        <w:tc>
          <w:tcPr>
            <w:tcW w:w="1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current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42,494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42,733</w:t>
            </w:r>
          </w:p>
        </w:tc>
        <w:tc>
          <w:tcPr>
            <w:tcW w:w="0" w:type="dxa"/>
            <w:vAlign w:val="bottom"/>
          </w:tcPr>
          <w:p>
            <w:pPr>
              <w:spacing w:after="0"/>
              <w:rPr>
                <w:sz w:val="1"/>
                <w:szCs w:val="1"/>
                <w:color w:val="auto"/>
              </w:rPr>
            </w:pPr>
          </w:p>
        </w:tc>
      </w:tr>
      <w:tr>
        <w:trPr>
          <w:trHeight w:val="174"/>
        </w:trPr>
        <w:tc>
          <w:tcPr>
            <w:tcW w:w="114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current</w:t>
            </w: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42,813</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208,648</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6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c>
          <w:tcPr>
            <w:tcW w:w="6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(13,546)</w:t>
            </w: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252,732</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Property, plant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equipment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482,326</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482,326</w:t>
            </w:r>
          </w:p>
        </w:tc>
        <w:tc>
          <w:tcPr>
            <w:tcW w:w="0" w:type="dxa"/>
            <w:vAlign w:val="bottom"/>
          </w:tcPr>
          <w:p>
            <w:pPr>
              <w:spacing w:after="0"/>
              <w:rPr>
                <w:sz w:val="1"/>
                <w:szCs w:val="1"/>
                <w:color w:val="auto"/>
              </w:rPr>
            </w:pPr>
          </w:p>
        </w:tc>
      </w:tr>
      <w:tr>
        <w:trPr>
          <w:trHeight w:val="198"/>
        </w:trPr>
        <w:tc>
          <w:tcPr>
            <w:tcW w:w="1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accumulated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(341,022)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(341,022)</w:t>
            </w:r>
          </w:p>
        </w:tc>
        <w:tc>
          <w:tcPr>
            <w:tcW w:w="0" w:type="dxa"/>
            <w:vAlign w:val="bottom"/>
          </w:tcPr>
          <w:p>
            <w:pPr>
              <w:spacing w:after="0"/>
              <w:rPr>
                <w:sz w:val="1"/>
                <w:szCs w:val="1"/>
                <w:color w:val="auto"/>
              </w:rPr>
            </w:pPr>
          </w:p>
        </w:tc>
      </w:tr>
      <w:tr>
        <w:trPr>
          <w:trHeight w:val="178"/>
        </w:trPr>
        <w:tc>
          <w:tcPr>
            <w:tcW w:w="11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Property, plant</w:t>
            </w: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equipment,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141,304</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141,304</w:t>
            </w:r>
          </w:p>
        </w:tc>
        <w:tc>
          <w:tcPr>
            <w:tcW w:w="0" w:type="dxa"/>
            <w:vAlign w:val="bottom"/>
          </w:tcPr>
          <w:p>
            <w:pPr>
              <w:spacing w:after="0"/>
              <w:rPr>
                <w:sz w:val="1"/>
                <w:szCs w:val="1"/>
                <w:color w:val="auto"/>
              </w:rPr>
            </w:pPr>
          </w:p>
        </w:tc>
      </w:tr>
      <w:tr>
        <w:trPr>
          <w:trHeight w:val="198"/>
        </w:trPr>
        <w:tc>
          <w:tcPr>
            <w:tcW w:w="1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Operating right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of use assets,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net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19,946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19,946</w:t>
            </w:r>
          </w:p>
        </w:tc>
        <w:tc>
          <w:tcPr>
            <w:tcW w:w="0" w:type="dxa"/>
            <w:vAlign w:val="bottom"/>
          </w:tcPr>
          <w:p>
            <w:pPr>
              <w:spacing w:after="0"/>
              <w:rPr>
                <w:sz w:val="1"/>
                <w:szCs w:val="1"/>
                <w:color w:val="auto"/>
              </w:rPr>
            </w:pPr>
          </w:p>
        </w:tc>
      </w:tr>
      <w:tr>
        <w:trPr>
          <w:trHeight w:val="198"/>
        </w:trPr>
        <w:tc>
          <w:tcPr>
            <w:tcW w:w="1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assets,</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9,842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9,842</w:t>
            </w:r>
          </w:p>
        </w:tc>
        <w:tc>
          <w:tcPr>
            <w:tcW w:w="0" w:type="dxa"/>
            <w:vAlign w:val="bottom"/>
          </w:tcPr>
          <w:p>
            <w:pPr>
              <w:spacing w:after="0"/>
              <w:rPr>
                <w:sz w:val="1"/>
                <w:szCs w:val="1"/>
                <w:color w:val="auto"/>
              </w:rPr>
            </w:pPr>
          </w:p>
        </w:tc>
      </w:tr>
      <w:tr>
        <w:trPr>
          <w:trHeight w:val="198"/>
        </w:trPr>
        <w:tc>
          <w:tcPr>
            <w:tcW w:w="1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Intangible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assets, net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13,401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13,401</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3,131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3,131</w:t>
            </w:r>
          </w:p>
        </w:tc>
        <w:tc>
          <w:tcPr>
            <w:tcW w:w="0" w:type="dxa"/>
            <w:vAlign w:val="bottom"/>
          </w:tcPr>
          <w:p>
            <w:pPr>
              <w:spacing w:after="0"/>
              <w:rPr>
                <w:sz w:val="1"/>
                <w:szCs w:val="1"/>
                <w:color w:val="auto"/>
              </w:rPr>
            </w:pPr>
          </w:p>
        </w:tc>
      </w:tr>
      <w:tr>
        <w:trPr>
          <w:trHeight w:val="198"/>
        </w:trPr>
        <w:tc>
          <w:tcPr>
            <w:tcW w:w="1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Deferred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5,870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5,870</w:t>
            </w:r>
          </w:p>
        </w:tc>
        <w:tc>
          <w:tcPr>
            <w:tcW w:w="0" w:type="dxa"/>
            <w:vAlign w:val="bottom"/>
          </w:tcPr>
          <w:p>
            <w:pPr>
              <w:spacing w:after="0"/>
              <w:rPr>
                <w:sz w:val="1"/>
                <w:szCs w:val="1"/>
                <w:color w:val="auto"/>
              </w:rPr>
            </w:pPr>
          </w:p>
        </w:tc>
      </w:tr>
      <w:tr>
        <w:trPr>
          <w:trHeight w:val="223"/>
        </w:trPr>
        <w:tc>
          <w:tcPr>
            <w:tcW w:w="1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402,142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(13,546</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446,226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and</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(deficit)/equity</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Current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Short-term</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3(d)</w:t>
            </w: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141,774</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(11,178)</w:t>
            </w:r>
          </w:p>
        </w:tc>
        <w:tc>
          <w:tcPr>
            <w:tcW w:w="740" w:type="dxa"/>
            <w:vAlign w:val="bottom"/>
            <w:gridSpan w:val="2"/>
            <w:vMerge w:val="continue"/>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130,596</w:t>
            </w:r>
          </w:p>
        </w:tc>
        <w:tc>
          <w:tcPr>
            <w:tcW w:w="0" w:type="dxa"/>
            <w:vAlign w:val="bottom"/>
          </w:tcPr>
          <w:p>
            <w:pPr>
              <w:spacing w:after="0"/>
              <w:rPr>
                <w:sz w:val="1"/>
                <w:szCs w:val="1"/>
                <w:color w:val="auto"/>
              </w:rPr>
            </w:pPr>
          </w:p>
        </w:tc>
      </w:tr>
      <w:tr>
        <w:trPr>
          <w:trHeight w:val="198"/>
        </w:trPr>
        <w:tc>
          <w:tcPr>
            <w:tcW w:w="1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Accounts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3(bb)</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3(a)</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payable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44,342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238</w:t>
            </w:r>
          </w:p>
        </w:tc>
        <w:tc>
          <w:tcPr>
            <w:tcW w:w="740" w:type="dxa"/>
            <w:vAlign w:val="bottom"/>
            <w:gridSpan w:val="2"/>
            <w:vMerge w:val="continue"/>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44,528</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(383)</w:t>
            </w:r>
          </w:p>
        </w:tc>
        <w:tc>
          <w:tcPr>
            <w:tcW w:w="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3(b)</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Accrued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3(bb)</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3(a)</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24,282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0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(327)</w:t>
            </w:r>
          </w:p>
        </w:tc>
        <w:tc>
          <w:tcPr>
            <w:tcW w:w="740" w:type="dxa"/>
            <w:vAlign w:val="bottom"/>
            <w:gridSpan w:val="2"/>
            <w:vMerge w:val="continue"/>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24,090</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c>
          <w:tcPr>
            <w:tcW w:w="1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3(cc)</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(71)</w:t>
            </w:r>
          </w:p>
        </w:tc>
        <w:tc>
          <w:tcPr>
            <w:tcW w:w="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3(b)</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Short-term</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portion</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4,119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4,119</w:t>
            </w:r>
          </w:p>
        </w:tc>
        <w:tc>
          <w:tcPr>
            <w:tcW w:w="0" w:type="dxa"/>
            <w:vAlign w:val="bottom"/>
          </w:tcPr>
          <w:p>
            <w:pPr>
              <w:spacing w:after="0"/>
              <w:rPr>
                <w:sz w:val="1"/>
                <w:szCs w:val="1"/>
                <w:color w:val="auto"/>
              </w:rPr>
            </w:pPr>
          </w:p>
        </w:tc>
      </w:tr>
      <w:tr>
        <w:trPr>
          <w:trHeight w:val="174"/>
        </w:trPr>
        <w:tc>
          <w:tcPr>
            <w:tcW w:w="114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current</w:t>
            </w: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214,517</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w:t>
            </w:r>
          </w:p>
        </w:tc>
        <w:tc>
          <w:tcPr>
            <w:tcW w:w="6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(11,721)</w:t>
            </w: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203,333</w:t>
            </w:r>
          </w:p>
        </w:tc>
        <w:tc>
          <w:tcPr>
            <w:tcW w:w="0" w:type="dxa"/>
            <w:vAlign w:val="bottom"/>
          </w:tcPr>
          <w:p>
            <w:pPr>
              <w:spacing w:after="0"/>
              <w:rPr>
                <w:sz w:val="1"/>
                <w:szCs w:val="1"/>
                <w:color w:val="auto"/>
              </w:rPr>
            </w:pPr>
          </w:p>
        </w:tc>
      </w:tr>
      <w:tr>
        <w:trPr>
          <w:trHeight w:val="198"/>
        </w:trPr>
        <w:tc>
          <w:tcPr>
            <w:tcW w:w="1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Accrued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employee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benefits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23,597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23,597</w:t>
            </w:r>
          </w:p>
        </w:tc>
        <w:tc>
          <w:tcPr>
            <w:tcW w:w="0" w:type="dxa"/>
            <w:vAlign w:val="bottom"/>
          </w:tcPr>
          <w:p>
            <w:pPr>
              <w:spacing w:after="0"/>
              <w:rPr>
                <w:sz w:val="1"/>
                <w:szCs w:val="1"/>
                <w:color w:val="auto"/>
              </w:rPr>
            </w:pPr>
          </w:p>
        </w:tc>
      </w:tr>
      <w:tr>
        <w:trPr>
          <w:trHeight w:val="198"/>
        </w:trPr>
        <w:tc>
          <w:tcPr>
            <w:tcW w:w="1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Deferred</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1,557</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1,557</w:t>
            </w:r>
          </w:p>
        </w:tc>
        <w:tc>
          <w:tcPr>
            <w:tcW w:w="0" w:type="dxa"/>
            <w:vAlign w:val="bottom"/>
          </w:tcPr>
          <w:p>
            <w:pPr>
              <w:spacing w:after="0"/>
              <w:rPr>
                <w:sz w:val="1"/>
                <w:szCs w:val="1"/>
                <w:color w:val="auto"/>
              </w:rPr>
            </w:pPr>
          </w:p>
        </w:tc>
      </w:tr>
      <w:tr>
        <w:trPr>
          <w:trHeight w:val="198"/>
        </w:trPr>
        <w:tc>
          <w:tcPr>
            <w:tcW w:w="1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Long-term</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18,111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18,111</w:t>
            </w:r>
          </w:p>
        </w:tc>
        <w:tc>
          <w:tcPr>
            <w:tcW w:w="0" w:type="dxa"/>
            <w:vAlign w:val="bottom"/>
          </w:tcPr>
          <w:p>
            <w:pPr>
              <w:spacing w:after="0"/>
              <w:rPr>
                <w:sz w:val="1"/>
                <w:szCs w:val="1"/>
                <w:color w:val="auto"/>
              </w:rPr>
            </w:pPr>
          </w:p>
        </w:tc>
      </w:tr>
      <w:tr>
        <w:trPr>
          <w:trHeight w:val="174"/>
        </w:trPr>
        <w:tc>
          <w:tcPr>
            <w:tcW w:w="114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257,782</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w:t>
            </w:r>
          </w:p>
        </w:tc>
        <w:tc>
          <w:tcPr>
            <w:tcW w:w="6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(11,721)</w:t>
            </w:r>
          </w:p>
        </w:tc>
        <w:tc>
          <w:tcPr>
            <w:tcW w:w="4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246,598</w:t>
            </w: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91" w:orient="portrait"/>
          <w:cols w:equalWidth="0" w:num="1">
            <w:col w:w="11240"/>
          </w:cols>
          <w:pgMar w:left="320" w:top="900" w:right="339" w:bottom="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Mezzanine</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Enzon Series C</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Preferred</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Stock, $ 0.01</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par value;</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40,000 shares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authorized;</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40,000 shares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issued and</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outstanding</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(liquidation</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value $ 1,115)</w:t>
            </w:r>
          </w:p>
        </w:tc>
        <w:tc>
          <w:tcPr>
            <w:tcW w:w="15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44,607</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15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200" w:type="dxa"/>
            <w:vAlign w:val="bottom"/>
            <w:vMerge w:val="continue"/>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Viskase</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stock, $0.01</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par value;</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150,000,000</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authorized,</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135,422,427</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and</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134,617,157</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December 31,</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5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1,346</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Enzon</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Stock, $ 0.01</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par value;</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170,000,000</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authorized;</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74,214,603</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and</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outstanding</w:t>
            </w:r>
          </w:p>
        </w:tc>
        <w:tc>
          <w:tcPr>
            <w:tcW w:w="15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742</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5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Combined</w:t>
            </w:r>
          </w:p>
        </w:tc>
        <w:tc>
          <w:tcPr>
            <w:tcW w:w="15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0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Stock, $0.01</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par value</w:t>
            </w:r>
          </w:p>
        </w:tc>
        <w:tc>
          <w:tcPr>
            <w:tcW w:w="15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Additional</w:t>
            </w:r>
          </w:p>
        </w:tc>
        <w:tc>
          <w:tcPr>
            <w:tcW w:w="15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0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paid-in capital</w:t>
            </w:r>
          </w:p>
        </w:tc>
        <w:tc>
          <w:tcPr>
            <w:tcW w:w="15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70,034</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212,037</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14,741</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5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5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5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(Accumulated</w:t>
            </w:r>
          </w:p>
        </w:tc>
        <w:tc>
          <w:tcPr>
            <w:tcW w:w="15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0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deficit)</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retained</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earnings</w:t>
            </w: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(73,301)</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(11,881)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5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5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5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15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0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at cost</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(805,270</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15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Accumulated</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loss</w:t>
            </w:r>
          </w:p>
        </w:tc>
        <w:tc>
          <w:tcPr>
            <w:tcW w:w="15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(55,361)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20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8"/>
                <w:szCs w:val="18"/>
                <w:color w:val="auto"/>
              </w:rPr>
              <w:t>(2,525</w:t>
            </w:r>
          </w:p>
        </w:tc>
        <w:tc>
          <w:tcPr>
            <w:tcW w:w="160" w:type="dxa"/>
            <w:vAlign w:val="bottom"/>
          </w:tcPr>
          <w:p>
            <w:pPr>
              <w:jc w:val="right"/>
              <w:ind w:right="21"/>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8"/>
                <w:szCs w:val="18"/>
                <w:color w:val="auto"/>
              </w:rPr>
              <w:t>145,843</w:t>
            </w:r>
          </w:p>
        </w:tc>
        <w:tc>
          <w:tcPr>
            <w:tcW w:w="180" w:type="dxa"/>
            <w:vAlign w:val="bottom"/>
          </w:tcPr>
          <w:p>
            <w:pPr>
              <w:spacing w:after="0"/>
              <w:rPr>
                <w:sz w:val="15"/>
                <w:szCs w:val="15"/>
                <w:color w:val="auto"/>
              </w:rPr>
            </w:pPr>
          </w:p>
        </w:tc>
        <w:tc>
          <w:tcPr>
            <w:tcW w:w="96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8"/>
                <w:szCs w:val="18"/>
                <w:color w:val="auto"/>
              </w:rPr>
              <w:t>15,000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1" w:lineRule="exact"/>
        <w:rPr>
          <w:sz w:val="1"/>
          <w:szCs w:val="1"/>
          <w:color w:val="auto"/>
        </w:rPr>
      </w:pPr>
    </w:p>
    <w:tbl>
      <w:tblPr>
        <w:tblLayout w:type="fixed"/>
        <w:tblInd w:w="2140" w:type="dxa"/>
        <w:tblCellMar>
          <w:top w:w="0" w:type="dxa"/>
          <w:left w:w="0" w:type="dxa"/>
          <w:bottom w:w="0" w:type="dxa"/>
          <w:right w:w="0" w:type="dxa"/>
        </w:tblCellMar>
      </w:tblPr>
      <w:tr>
        <w:trPr>
          <w:trHeight w:val="216"/>
        </w:trPr>
        <w:tc>
          <w:tcPr>
            <w:tcW w:w="92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(44,688)</w:t>
            </w:r>
          </w:p>
        </w:tc>
        <w:tc>
          <w:tcPr>
            <w:tcW w:w="8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3(i)</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38"/>
        </w:trPr>
        <w:tc>
          <w:tcPr>
            <w:tcW w:w="92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514</w:t>
            </w:r>
          </w:p>
        </w:tc>
        <w:tc>
          <w:tcPr>
            <w:tcW w:w="8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3(g)</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-1645285</wp:posOffset>
            </wp:positionV>
            <wp:extent cx="7132320" cy="1920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3232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40"/>
        <w:spacing w:after="0"/>
        <w:tabs>
          <w:tab w:leader="none" w:pos="2120" w:val="left"/>
          <w:tab w:leader="none" w:pos="4020" w:val="left"/>
          <w:tab w:leader="none" w:pos="5040" w:val="left"/>
          <w:tab w:leader="none" w:pos="6100" w:val="left"/>
        </w:tabs>
        <w:rPr>
          <w:sz w:val="20"/>
          <w:szCs w:val="20"/>
          <w:color w:val="auto"/>
        </w:rPr>
      </w:pPr>
      <w:r>
        <w:rPr>
          <w:rFonts w:ascii="Times New Roman" w:cs="Times New Roman" w:eastAsia="Times New Roman" w:hAnsi="Times New Roman"/>
          <w:sz w:val="18"/>
          <w:szCs w:val="18"/>
          <w:b w:val="1"/>
          <w:bCs w:val="1"/>
          <w:color w:val="auto"/>
        </w:rPr>
        <w:t>3(aaa)</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(1,605)</w:t>
      </w:r>
      <w:r>
        <w:rPr>
          <w:sz w:val="20"/>
          <w:szCs w:val="20"/>
          <w:color w:val="auto"/>
        </w:rPr>
        <w:tab/>
      </w:r>
      <w:r>
        <w:rPr>
          <w:rFonts w:ascii="Times New Roman" w:cs="Times New Roman" w:eastAsia="Times New Roman" w:hAnsi="Times New Roman"/>
          <w:sz w:val="18"/>
          <w:szCs w:val="18"/>
          <w:b w:val="1"/>
          <w:bCs w:val="1"/>
          <w:color w:val="auto"/>
        </w:rPr>
        <w:t>3(h)</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19685</wp:posOffset>
            </wp:positionV>
            <wp:extent cx="7132320" cy="15087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3232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(735)</w:t>
            </w: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3(f)</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w:t>
            </w: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3(i)</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38"/>
        </w:trPr>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3(c)</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1058"/>
        </w:trPr>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w:t>
            </w: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3(h)</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60" w:type="dxa"/>
            <w:vAlign w:val="bottom"/>
          </w:tcPr>
          <w:p>
            <w:pPr>
              <w:spacing w:after="0"/>
              <w:rPr>
                <w:sz w:val="24"/>
                <w:szCs w:val="24"/>
                <w:color w:val="auto"/>
              </w:rPr>
            </w:pPr>
          </w:p>
        </w:tc>
      </w:tr>
      <w:tr>
        <w:trPr>
          <w:trHeight w:val="238"/>
        </w:trPr>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w:t>
            </w: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3(c)</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410"/>
        </w:trPr>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3(aaa)</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44,631</w:t>
            </w: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3(i)</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268,002</w:t>
            </w:r>
          </w:p>
        </w:tc>
        <w:tc>
          <w:tcPr>
            <w:tcW w:w="60" w:type="dxa"/>
            <w:vAlign w:val="bottom"/>
          </w:tcPr>
          <w:p>
            <w:pPr>
              <w:spacing w:after="0"/>
              <w:rPr>
                <w:sz w:val="24"/>
                <w:szCs w:val="24"/>
                <w:color w:val="auto"/>
              </w:rPr>
            </w:pPr>
          </w:p>
        </w:tc>
      </w:tr>
      <w:tr>
        <w:trPr>
          <w:trHeight w:val="216"/>
        </w:trPr>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(73,662)</w:t>
            </w: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3(h)</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735</w:t>
            </w: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3(f)</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3(b)</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38"/>
        </w:trPr>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(514)</w:t>
            </w: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3(g)</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842"/>
        </w:trPr>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362</w:t>
            </w:r>
          </w:p>
        </w:tc>
        <w:tc>
          <w:tcPr>
            <w:tcW w:w="108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3(aa)</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(1,225)</w:t>
            </w: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3(a)</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(12,106)</w:t>
            </w:r>
          </w:p>
        </w:tc>
      </w:tr>
      <w:tr>
        <w:trPr>
          <w:trHeight w:val="216"/>
        </w:trPr>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c>
          <w:tcPr>
            <w:tcW w:w="108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3(bb)</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w:t>
            </w: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3(e)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w:t>
            </w: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3(b)</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74,890</w:t>
            </w: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3(h)</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38"/>
        </w:trPr>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3(d)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864"/>
        </w:trPr>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298</w:t>
            </w: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3(h)</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878"/>
        </w:trPr>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(55,361)</w:t>
            </w:r>
          </w:p>
        </w:tc>
      </w:tr>
      <w:tr>
        <w:trPr>
          <w:trHeight w:val="228"/>
        </w:trPr>
        <w:tc>
          <w:tcPr>
            <w:tcW w:w="64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42,349</w:t>
            </w:r>
          </w:p>
        </w:tc>
        <w:tc>
          <w:tcPr>
            <w:tcW w:w="1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200,678</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-4142740</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-3319780</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-2908300</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-2633980</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-2359660</wp:posOffset>
            </wp:positionV>
            <wp:extent cx="7132320" cy="548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-1673860</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-1399540</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-713740</wp:posOffset>
            </wp:positionV>
            <wp:extent cx="7132320" cy="5568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32320" cy="556895"/>
                    </a:xfrm>
                    <a:prstGeom prst="rect">
                      <a:avLst/>
                    </a:prstGeom>
                    <a:noFill/>
                  </pic:spPr>
                </pic:pic>
              </a:graphicData>
            </a:graphic>
          </wp:anchor>
        </w:drawing>
      </w:r>
    </w:p>
    <w:p>
      <w:pPr>
        <w:sectPr>
          <w:pgSz w:w="11900" w:h="16838" w:orient="portrait"/>
          <w:cols w:equalWidth="0" w:num="2">
            <w:col w:w="4840" w:space="160"/>
            <w:col w:w="6240"/>
          </w:cols>
          <w:pgMar w:left="320" w:top="117" w:right="339" w:bottom="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controlling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Deficit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attributable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non-controlling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mezzanine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(1,483)</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642"/>
        </w:trPr>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(2,525)</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144,360</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42,349</w:t>
            </w:r>
          </w:p>
        </w:tc>
      </w:tr>
      <w:tr>
        <w:trPr>
          <w:trHeight w:val="20"/>
        </w:trPr>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-985520</wp:posOffset>
            </wp:positionV>
            <wp:extent cx="7132320" cy="18262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32320" cy="1826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860"/>
        <w:spacing w:after="0"/>
        <w:tabs>
          <w:tab w:leader="none" w:pos="1900" w:val="left"/>
          <w:tab w:leader="none" w:pos="3120" w:val="left"/>
          <w:tab w:leader="none" w:pos="5640" w:val="left"/>
          <w:tab w:leader="none" w:pos="7720" w:val="left"/>
        </w:tabs>
        <w:rPr>
          <w:sz w:val="20"/>
          <w:szCs w:val="20"/>
          <w:color w:val="auto"/>
        </w:rPr>
      </w:pPr>
      <w:r>
        <w:rPr>
          <w:rFonts w:ascii="Times New Roman" w:cs="Times New Roman" w:eastAsia="Times New Roman" w:hAnsi="Times New Roman"/>
          <w:sz w:val="18"/>
          <w:szCs w:val="18"/>
          <w:color w:val="auto"/>
        </w:rPr>
        <w:t>42,813</w:t>
      </w:r>
      <w:r>
        <w:rPr>
          <w:sz w:val="20"/>
          <w:szCs w:val="20"/>
          <w:color w:val="auto"/>
        </w:rPr>
        <w:tab/>
      </w:r>
      <w:r>
        <w:rPr>
          <w:rFonts w:ascii="Times New Roman" w:cs="Times New Roman" w:eastAsia="Times New Roman" w:hAnsi="Times New Roman"/>
          <w:sz w:val="18"/>
          <w:szCs w:val="18"/>
          <w:color w:val="auto"/>
        </w:rPr>
        <w:t>402,142</w:t>
      </w:r>
      <w:r>
        <w:rPr>
          <w:sz w:val="20"/>
          <w:szCs w:val="20"/>
          <w:color w:val="auto"/>
        </w:rPr>
        <w:tab/>
      </w:r>
      <w:r>
        <w:rPr>
          <w:rFonts w:ascii="Times New Roman" w:cs="Times New Roman" w:eastAsia="Times New Roman" w:hAnsi="Times New Roman"/>
          <w:sz w:val="18"/>
          <w:szCs w:val="18"/>
          <w:color w:val="auto"/>
        </w:rPr>
        <w:t>15,000</w:t>
      </w:r>
      <w:r>
        <w:rPr>
          <w:sz w:val="20"/>
          <w:szCs w:val="20"/>
          <w:color w:val="auto"/>
        </w:rPr>
        <w:tab/>
      </w: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8"/>
          <w:szCs w:val="18"/>
          <w:color w:val="auto"/>
        </w:rPr>
        <w:t>(13,546)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wp:posOffset>
            </wp:positionV>
            <wp:extent cx="56749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5674995" cy="8255"/>
                    </a:xfrm>
                    <a:prstGeom prst="rect">
                      <a:avLst/>
                    </a:prstGeom>
                    <a:noFill/>
                  </pic:spPr>
                </pic:pic>
              </a:graphicData>
            </a:graphic>
          </wp:anchor>
        </w:drawing>
      </w:r>
    </w:p>
    <w:p>
      <w:pPr>
        <w:spacing w:after="0" w:line="27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447040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26035</wp:posOffset>
            </wp:positionV>
            <wp:extent cx="47180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199,195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446,226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34290</wp:posOffset>
            </wp:positionV>
            <wp:extent cx="4718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ectPr>
          <w:pgSz w:w="11900" w:h="16838" w:orient="portrait"/>
          <w:cols w:equalWidth="0" w:num="3">
            <w:col w:w="1120" w:space="80"/>
            <w:col w:w="8660" w:space="720"/>
            <w:col w:w="660"/>
          </w:cols>
          <w:pgMar w:left="320" w:top="117"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FOR THE YEAR ENDED DECEMBER 31,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32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00" w:type="dxa"/>
            <w:vAlign w:val="bottom"/>
          </w:tcPr>
          <w:p>
            <w:pPr>
              <w:spacing w:after="0"/>
              <w:rPr>
                <w:sz w:val="20"/>
                <w:szCs w:val="20"/>
                <w:color w:val="auto"/>
              </w:rPr>
            </w:pPr>
          </w:p>
        </w:tc>
        <w:tc>
          <w:tcPr>
            <w:tcW w:w="19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6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880" w:type="dxa"/>
            <w:vAlign w:val="bottom"/>
            <w:gridSpan w:val="8"/>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Transaction Accounting Adjustments</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480"/>
              <w:spacing w:after="0" w:line="188" w:lineRule="exact"/>
              <w:rPr>
                <w:sz w:val="20"/>
                <w:szCs w:val="20"/>
                <w:color w:val="auto"/>
              </w:rPr>
            </w:pPr>
            <w:r>
              <w:rPr>
                <w:rFonts w:ascii="Times New Roman" w:cs="Times New Roman" w:eastAsia="Times New Roman" w:hAnsi="Times New Roman"/>
                <w:sz w:val="18"/>
                <w:szCs w:val="18"/>
                <w:b w:val="1"/>
                <w:bCs w:val="1"/>
                <w:color w:val="auto"/>
              </w:rPr>
              <w:t>Other</w:t>
            </w:r>
          </w:p>
        </w:tc>
        <w:tc>
          <w:tcPr>
            <w:tcW w:w="4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56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Enzon Pharmaceuticals, Viskase Companies,</w:t>
            </w:r>
          </w:p>
        </w:tc>
        <w:tc>
          <w:tcPr>
            <w:tcW w:w="17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Adjustments for</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except for share</w:t>
            </w:r>
          </w:p>
        </w:tc>
        <w:tc>
          <w:tcPr>
            <w:tcW w:w="340" w:type="dxa"/>
            <w:vAlign w:val="bottom"/>
          </w:tcPr>
          <w:p>
            <w:pPr>
              <w:spacing w:after="0"/>
              <w:rPr>
                <w:sz w:val="18"/>
                <w:szCs w:val="18"/>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4"/>
              </w:rPr>
              <w:t>Inc.</w:t>
            </w:r>
          </w:p>
        </w:tc>
        <w:tc>
          <w:tcPr>
            <w:tcW w:w="32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Inc.</w:t>
            </w:r>
          </w:p>
        </w:tc>
        <w:tc>
          <w:tcPr>
            <w:tcW w:w="17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Other Material</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Accounting</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Statement of</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data)</w:t>
            </w:r>
          </w:p>
        </w:tc>
        <w:tc>
          <w:tcPr>
            <w:tcW w:w="340" w:type="dxa"/>
            <w:vAlign w:val="bottom"/>
          </w:tcPr>
          <w:p>
            <w:pPr>
              <w:spacing w:after="0"/>
              <w:rPr>
                <w:sz w:val="20"/>
                <w:szCs w:val="20"/>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320" w:type="dxa"/>
            <w:vAlign w:val="bottom"/>
          </w:tcPr>
          <w:p>
            <w:pPr>
              <w:spacing w:after="0"/>
              <w:rPr>
                <w:sz w:val="20"/>
                <w:szCs w:val="20"/>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2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Events</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2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80" w:type="dxa"/>
            <w:vAlign w:val="bottom"/>
          </w:tcPr>
          <w:p>
            <w:pPr>
              <w:spacing w:after="0"/>
              <w:rPr>
                <w:sz w:val="20"/>
                <w:szCs w:val="20"/>
                <w:color w:val="auto"/>
              </w:rPr>
            </w:pPr>
          </w:p>
        </w:tc>
        <w:tc>
          <w:tcPr>
            <w:tcW w:w="12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0" w:type="dxa"/>
            <w:vAlign w:val="bottom"/>
          </w:tcPr>
          <w:p>
            <w:pPr>
              <w:spacing w:after="0"/>
              <w:rPr>
                <w:sz w:val="1"/>
                <w:szCs w:val="1"/>
                <w:color w:val="auto"/>
              </w:rPr>
            </w:pPr>
          </w:p>
        </w:tc>
      </w:tr>
      <w:tr>
        <w:trPr>
          <w:trHeight w:val="210"/>
        </w:trPr>
        <w:tc>
          <w:tcPr>
            <w:tcW w:w="1300" w:type="dxa"/>
            <w:vAlign w:val="bottom"/>
            <w:tcBorders>
              <w:top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Borders>
              <w:top w:val="single" w:sz="8" w:color="auto"/>
            </w:tcBorders>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CFF"/>
            </w:tcBorders>
            <w:shd w:val="clear" w:color="auto" w:fill="CCECFF"/>
          </w:tcPr>
          <w:p>
            <w:pPr>
              <w:spacing w:after="0"/>
              <w:rPr>
                <w:sz w:val="18"/>
                <w:szCs w:val="18"/>
                <w:color w:val="auto"/>
              </w:rPr>
            </w:pPr>
          </w:p>
        </w:tc>
        <w:tc>
          <w:tcPr>
            <w:tcW w:w="3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364,356</w:t>
            </w:r>
          </w:p>
        </w:tc>
        <w:tc>
          <w:tcPr>
            <w:tcW w:w="60" w:type="dxa"/>
            <w:vAlign w:val="bottom"/>
            <w:tcBorders>
              <w:top w:val="single" w:sz="8" w:color="CCECFF"/>
            </w:tcBorders>
            <w:shd w:val="clear" w:color="auto" w:fill="CCECFF"/>
          </w:tcPr>
          <w:p>
            <w:pPr>
              <w:spacing w:after="0"/>
              <w:rPr>
                <w:sz w:val="18"/>
                <w:szCs w:val="18"/>
                <w:color w:val="auto"/>
              </w:rPr>
            </w:pPr>
          </w:p>
        </w:tc>
        <w:tc>
          <w:tcPr>
            <w:tcW w:w="1200" w:type="dxa"/>
            <w:vAlign w:val="bottom"/>
            <w:tcBorders>
              <w:top w:val="single" w:sz="8" w:color="auto"/>
            </w:tcBorders>
            <w:shd w:val="clear" w:color="auto" w:fill="CCEC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CFF"/>
          </w:tcPr>
          <w:p>
            <w:pPr>
              <w:spacing w:after="0"/>
              <w:rPr>
                <w:sz w:val="18"/>
                <w:szCs w:val="18"/>
                <w:color w:val="auto"/>
              </w:rPr>
            </w:pPr>
          </w:p>
        </w:tc>
        <w:tc>
          <w:tcPr>
            <w:tcW w:w="620" w:type="dxa"/>
            <w:vAlign w:val="bottom"/>
            <w:tcBorders>
              <w:top w:val="single" w:sz="8" w:color="auto"/>
            </w:tcBorders>
            <w:shd w:val="clear" w:color="auto" w:fill="CCECFF"/>
          </w:tcPr>
          <w:p>
            <w:pPr>
              <w:spacing w:after="0"/>
              <w:rPr>
                <w:sz w:val="18"/>
                <w:szCs w:val="18"/>
                <w:color w:val="auto"/>
              </w:rPr>
            </w:pPr>
          </w:p>
        </w:tc>
        <w:tc>
          <w:tcPr>
            <w:tcW w:w="80" w:type="dxa"/>
            <w:vAlign w:val="bottom"/>
            <w:tcBorders>
              <w:top w:val="single" w:sz="8" w:color="CCECFF"/>
            </w:tcBorders>
            <w:shd w:val="clear" w:color="auto" w:fill="CCECFF"/>
          </w:tcPr>
          <w:p>
            <w:pPr>
              <w:spacing w:after="0"/>
              <w:rPr>
                <w:sz w:val="18"/>
                <w:szCs w:val="18"/>
                <w:color w:val="auto"/>
              </w:rPr>
            </w:pPr>
          </w:p>
        </w:tc>
        <w:tc>
          <w:tcPr>
            <w:tcW w:w="2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CFF"/>
          </w:tcPr>
          <w:p>
            <w:pPr>
              <w:spacing w:after="0"/>
              <w:rPr>
                <w:sz w:val="18"/>
                <w:szCs w:val="18"/>
                <w:color w:val="auto"/>
              </w:rPr>
            </w:pPr>
          </w:p>
        </w:tc>
        <w:tc>
          <w:tcPr>
            <w:tcW w:w="440" w:type="dxa"/>
            <w:vAlign w:val="bottom"/>
            <w:tcBorders>
              <w:top w:val="single" w:sz="8" w:color="auto"/>
            </w:tcBorders>
            <w:shd w:val="clear" w:color="auto" w:fill="CCECFF"/>
          </w:tcPr>
          <w:p>
            <w:pPr>
              <w:spacing w:after="0"/>
              <w:rPr>
                <w:sz w:val="18"/>
                <w:szCs w:val="18"/>
                <w:color w:val="auto"/>
              </w:rPr>
            </w:pPr>
          </w:p>
        </w:tc>
        <w:tc>
          <w:tcPr>
            <w:tcW w:w="60" w:type="dxa"/>
            <w:vAlign w:val="bottom"/>
            <w:tcBorders>
              <w:top w:val="single" w:sz="8" w:color="CCECFF"/>
            </w:tcBorders>
            <w:shd w:val="clear" w:color="auto" w:fill="CCECFF"/>
          </w:tcPr>
          <w:p>
            <w:pPr>
              <w:spacing w:after="0"/>
              <w:rPr>
                <w:sz w:val="18"/>
                <w:szCs w:val="18"/>
                <w:color w:val="auto"/>
              </w:rPr>
            </w:pPr>
          </w:p>
        </w:tc>
        <w:tc>
          <w:tcPr>
            <w:tcW w:w="2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364,356</w:t>
            </w:r>
          </w:p>
        </w:tc>
        <w:tc>
          <w:tcPr>
            <w:tcW w:w="440" w:type="dxa"/>
            <w:vAlign w:val="bottom"/>
            <w:tcBorders>
              <w:top w:val="single" w:sz="8" w:color="auto"/>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Pr>
          <w:p>
            <w:pPr>
              <w:spacing w:after="0"/>
              <w:rPr>
                <w:sz w:val="18"/>
                <w:szCs w:val="18"/>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(327,601)</w:t>
            </w:r>
          </w:p>
        </w:tc>
        <w:tc>
          <w:tcPr>
            <w:tcW w:w="1200" w:type="dxa"/>
            <w:vAlign w:val="bottom"/>
          </w:tcPr>
          <w:p>
            <w:pPr>
              <w:spacing w:after="0"/>
              <w:rPr>
                <w:sz w:val="18"/>
                <w:szCs w:val="18"/>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(327,601)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300" w:type="dxa"/>
            <w:vAlign w:val="bottom"/>
            <w:shd w:val="clear" w:color="auto" w:fill="CCECFF"/>
          </w:tcPr>
          <w:p>
            <w:pPr>
              <w:spacing w:after="0" w:line="198" w:lineRule="exact"/>
              <w:rPr>
                <w:sz w:val="20"/>
                <w:szCs w:val="20"/>
                <w:color w:val="auto"/>
              </w:rPr>
            </w:pPr>
            <w:r>
              <w:rPr>
                <w:rFonts w:ascii="Times New Roman" w:cs="Times New Roman" w:eastAsia="Times New Roman" w:hAnsi="Times New Roman"/>
                <w:sz w:val="18"/>
                <w:szCs w:val="18"/>
                <w:color w:val="auto"/>
              </w:rPr>
              <w:t>Royalties and</w:t>
            </w:r>
          </w:p>
        </w:tc>
        <w:tc>
          <w:tcPr>
            <w:tcW w:w="340" w:type="dxa"/>
            <w:vAlign w:val="bottom"/>
            <w:shd w:val="clear" w:color="auto" w:fill="CCECFF"/>
          </w:tcPr>
          <w:p>
            <w:pPr>
              <w:spacing w:after="0"/>
              <w:rPr>
                <w:sz w:val="17"/>
                <w:szCs w:val="17"/>
                <w:color w:val="auto"/>
              </w:rPr>
            </w:pPr>
          </w:p>
        </w:tc>
        <w:tc>
          <w:tcPr>
            <w:tcW w:w="1520" w:type="dxa"/>
            <w:vAlign w:val="bottom"/>
            <w:shd w:val="clear" w:color="auto" w:fill="CCECFF"/>
          </w:tcPr>
          <w:p>
            <w:pPr>
              <w:spacing w:after="0"/>
              <w:rPr>
                <w:sz w:val="17"/>
                <w:szCs w:val="17"/>
                <w:color w:val="auto"/>
              </w:rPr>
            </w:pPr>
          </w:p>
        </w:tc>
        <w:tc>
          <w:tcPr>
            <w:tcW w:w="4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1280" w:type="dxa"/>
            <w:vAlign w:val="bottom"/>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c>
          <w:tcPr>
            <w:tcW w:w="1200" w:type="dxa"/>
            <w:vAlign w:val="bottom"/>
            <w:shd w:val="clear" w:color="auto" w:fill="CCECFF"/>
          </w:tcPr>
          <w:p>
            <w:pPr>
              <w:spacing w:after="0"/>
              <w:rPr>
                <w:sz w:val="17"/>
                <w:szCs w:val="17"/>
                <w:color w:val="auto"/>
              </w:rPr>
            </w:pPr>
          </w:p>
        </w:tc>
        <w:tc>
          <w:tcPr>
            <w:tcW w:w="48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62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180" w:type="dxa"/>
            <w:vAlign w:val="bottom"/>
            <w:shd w:val="clear" w:color="auto" w:fill="CCECFF"/>
          </w:tcPr>
          <w:p>
            <w:pPr>
              <w:spacing w:after="0"/>
              <w:rPr>
                <w:sz w:val="17"/>
                <w:szCs w:val="17"/>
                <w:color w:val="auto"/>
              </w:rPr>
            </w:pPr>
          </w:p>
        </w:tc>
        <w:tc>
          <w:tcPr>
            <w:tcW w:w="20" w:type="dxa"/>
            <w:vAlign w:val="bottom"/>
            <w:shd w:val="clear" w:color="auto" w:fill="CCECFF"/>
          </w:tcPr>
          <w:p>
            <w:pPr>
              <w:spacing w:after="0"/>
              <w:rPr>
                <w:sz w:val="17"/>
                <w:szCs w:val="17"/>
                <w:color w:val="auto"/>
              </w:rPr>
            </w:pPr>
          </w:p>
        </w:tc>
        <w:tc>
          <w:tcPr>
            <w:tcW w:w="440" w:type="dxa"/>
            <w:vAlign w:val="bottom"/>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280" w:type="dxa"/>
            <w:vAlign w:val="bottom"/>
            <w:shd w:val="clear" w:color="auto" w:fill="CCECFF"/>
          </w:tcPr>
          <w:p>
            <w:pPr>
              <w:spacing w:after="0"/>
              <w:rPr>
                <w:sz w:val="17"/>
                <w:szCs w:val="17"/>
                <w:color w:val="auto"/>
              </w:rPr>
            </w:pPr>
          </w:p>
        </w:tc>
        <w:tc>
          <w:tcPr>
            <w:tcW w:w="44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milestones, net</w:t>
            </w:r>
          </w:p>
        </w:tc>
        <w:tc>
          <w:tcPr>
            <w:tcW w:w="340" w:type="dxa"/>
            <w:vAlign w:val="bottom"/>
            <w:tcBorders>
              <w:bottom w:val="single" w:sz="8" w:color="auto"/>
            </w:tcBorders>
            <w:shd w:val="clear" w:color="auto" w:fill="CCECFF"/>
          </w:tcPr>
          <w:p>
            <w:pPr>
              <w:spacing w:after="0"/>
              <w:rPr>
                <w:sz w:val="20"/>
                <w:szCs w:val="20"/>
                <w:color w:val="auto"/>
              </w:rPr>
            </w:pPr>
          </w:p>
        </w:tc>
        <w:tc>
          <w:tcPr>
            <w:tcW w:w="1520" w:type="dxa"/>
            <w:vAlign w:val="bottom"/>
            <w:tcBorders>
              <w:bottom w:val="single" w:sz="8" w:color="auto"/>
            </w:tcBorders>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CFF"/>
          </w:tcPr>
          <w:p>
            <w:pPr>
              <w:spacing w:after="0"/>
              <w:rPr>
                <w:sz w:val="20"/>
                <w:szCs w:val="20"/>
                <w:color w:val="auto"/>
              </w:rPr>
            </w:pPr>
          </w:p>
        </w:tc>
        <w:tc>
          <w:tcPr>
            <w:tcW w:w="320" w:type="dxa"/>
            <w:vAlign w:val="bottom"/>
            <w:tcBorders>
              <w:bottom w:val="single" w:sz="8" w:color="auto"/>
            </w:tcBorders>
            <w:shd w:val="clear" w:color="auto" w:fill="CCECFF"/>
          </w:tcPr>
          <w:p>
            <w:pPr>
              <w:spacing w:after="0"/>
              <w:rPr>
                <w:sz w:val="20"/>
                <w:szCs w:val="20"/>
                <w:color w:val="auto"/>
              </w:rPr>
            </w:pPr>
          </w:p>
        </w:tc>
        <w:tc>
          <w:tcPr>
            <w:tcW w:w="1280" w:type="dxa"/>
            <w:vAlign w:val="bottom"/>
            <w:tcBorders>
              <w:bottom w:val="single" w:sz="8" w:color="auto"/>
            </w:tcBorders>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CFF"/>
          </w:tcPr>
          <w:p>
            <w:pPr>
              <w:spacing w:after="0"/>
              <w:rPr>
                <w:sz w:val="20"/>
                <w:szCs w:val="20"/>
                <w:color w:val="auto"/>
              </w:rPr>
            </w:pPr>
          </w:p>
        </w:tc>
        <w:tc>
          <w:tcPr>
            <w:tcW w:w="1200" w:type="dxa"/>
            <w:vAlign w:val="bottom"/>
            <w:tcBorders>
              <w:bottom w:val="single" w:sz="8" w:color="auto"/>
            </w:tcBorders>
            <w:shd w:val="clear" w:color="auto" w:fill="CCECFF"/>
          </w:tcPr>
          <w:p>
            <w:pPr>
              <w:spacing w:after="0"/>
              <w:rPr>
                <w:sz w:val="20"/>
                <w:szCs w:val="20"/>
                <w:color w:val="auto"/>
              </w:rPr>
            </w:pPr>
          </w:p>
        </w:tc>
        <w:tc>
          <w:tcPr>
            <w:tcW w:w="480" w:type="dxa"/>
            <w:vAlign w:val="bottom"/>
            <w:tcBorders>
              <w:bottom w:val="single" w:sz="8" w:color="auto"/>
            </w:tcBorders>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CFF"/>
          </w:tcPr>
          <w:p>
            <w:pPr>
              <w:spacing w:after="0"/>
              <w:rPr>
                <w:sz w:val="20"/>
                <w:szCs w:val="20"/>
                <w:color w:val="auto"/>
              </w:rPr>
            </w:pPr>
          </w:p>
        </w:tc>
        <w:tc>
          <w:tcPr>
            <w:tcW w:w="620" w:type="dxa"/>
            <w:vAlign w:val="bottom"/>
            <w:shd w:val="clear" w:color="auto" w:fill="CCECFF"/>
          </w:tcPr>
          <w:p>
            <w:pPr>
              <w:spacing w:after="0"/>
              <w:rPr>
                <w:sz w:val="20"/>
                <w:szCs w:val="20"/>
                <w:color w:val="auto"/>
              </w:rPr>
            </w:pPr>
          </w:p>
        </w:tc>
        <w:tc>
          <w:tcPr>
            <w:tcW w:w="80" w:type="dxa"/>
            <w:vAlign w:val="bottom"/>
            <w:shd w:val="clear" w:color="auto" w:fill="CCECFF"/>
          </w:tcPr>
          <w:p>
            <w:pPr>
              <w:spacing w:after="0"/>
              <w:rPr>
                <w:sz w:val="20"/>
                <w:szCs w:val="20"/>
                <w:color w:val="auto"/>
              </w:rPr>
            </w:pPr>
          </w:p>
        </w:tc>
        <w:tc>
          <w:tcPr>
            <w:tcW w:w="220" w:type="dxa"/>
            <w:vAlign w:val="bottom"/>
            <w:tcBorders>
              <w:bottom w:val="single" w:sz="8" w:color="auto"/>
            </w:tcBorders>
            <w:shd w:val="clear" w:color="auto" w:fill="CCECFF"/>
          </w:tcPr>
          <w:p>
            <w:pPr>
              <w:spacing w:after="0"/>
              <w:rPr>
                <w:sz w:val="20"/>
                <w:szCs w:val="20"/>
                <w:color w:val="auto"/>
              </w:rPr>
            </w:pPr>
          </w:p>
        </w:tc>
        <w:tc>
          <w:tcPr>
            <w:tcW w:w="1180" w:type="dxa"/>
            <w:vAlign w:val="bottom"/>
            <w:tcBorders>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CFF"/>
          </w:tcPr>
          <w:p>
            <w:pPr>
              <w:spacing w:after="0"/>
              <w:rPr>
                <w:sz w:val="20"/>
                <w:szCs w:val="20"/>
                <w:color w:val="auto"/>
              </w:rPr>
            </w:pPr>
          </w:p>
        </w:tc>
        <w:tc>
          <w:tcPr>
            <w:tcW w:w="440" w:type="dxa"/>
            <w:vAlign w:val="bottom"/>
            <w:shd w:val="clear" w:color="auto" w:fill="CCECFF"/>
          </w:tcPr>
          <w:p>
            <w:pPr>
              <w:spacing w:after="0"/>
              <w:rPr>
                <w:sz w:val="20"/>
                <w:szCs w:val="20"/>
                <w:color w:val="auto"/>
              </w:rPr>
            </w:pPr>
          </w:p>
        </w:tc>
        <w:tc>
          <w:tcPr>
            <w:tcW w:w="60" w:type="dxa"/>
            <w:vAlign w:val="bottom"/>
            <w:shd w:val="clear" w:color="auto" w:fill="CCECFF"/>
          </w:tcPr>
          <w:p>
            <w:pPr>
              <w:spacing w:after="0"/>
              <w:rPr>
                <w:sz w:val="20"/>
                <w:szCs w:val="20"/>
                <w:color w:val="auto"/>
              </w:rPr>
            </w:pPr>
          </w:p>
        </w:tc>
        <w:tc>
          <w:tcPr>
            <w:tcW w:w="280" w:type="dxa"/>
            <w:vAlign w:val="bottom"/>
            <w:tcBorders>
              <w:bottom w:val="single" w:sz="8" w:color="auto"/>
            </w:tcBorders>
            <w:shd w:val="clear" w:color="auto" w:fill="CCECFF"/>
          </w:tcPr>
          <w:p>
            <w:pPr>
              <w:spacing w:after="0"/>
              <w:rPr>
                <w:sz w:val="20"/>
                <w:szCs w:val="20"/>
                <w:color w:val="auto"/>
              </w:rPr>
            </w:pPr>
          </w:p>
        </w:tc>
        <w:tc>
          <w:tcPr>
            <w:tcW w:w="1280" w:type="dxa"/>
            <w:vAlign w:val="bottom"/>
            <w:tcBorders>
              <w:bottom w:val="single" w:sz="8" w:color="auto"/>
            </w:tcBorders>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340" w:type="dxa"/>
            <w:vAlign w:val="bottom"/>
          </w:tcPr>
          <w:p>
            <w:pPr>
              <w:spacing w:after="0"/>
              <w:rPr>
                <w:sz w:val="18"/>
                <w:szCs w:val="18"/>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36,755</w:t>
            </w: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300" w:type="dxa"/>
            <w:vAlign w:val="bottom"/>
            <w:shd w:val="clear" w:color="auto" w:fill="CCECFF"/>
          </w:tcPr>
          <w:p>
            <w:pPr>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340" w:type="dxa"/>
            <w:vAlign w:val="bottom"/>
            <w:shd w:val="clear" w:color="auto" w:fill="CCECFF"/>
          </w:tcPr>
          <w:p>
            <w:pPr>
              <w:spacing w:after="0"/>
              <w:rPr>
                <w:sz w:val="17"/>
                <w:szCs w:val="17"/>
                <w:color w:val="auto"/>
              </w:rPr>
            </w:pPr>
          </w:p>
        </w:tc>
        <w:tc>
          <w:tcPr>
            <w:tcW w:w="1520" w:type="dxa"/>
            <w:vAlign w:val="bottom"/>
            <w:shd w:val="clear" w:color="auto" w:fill="CCECFF"/>
          </w:tcPr>
          <w:p>
            <w:pPr>
              <w:spacing w:after="0"/>
              <w:rPr>
                <w:sz w:val="17"/>
                <w:szCs w:val="17"/>
                <w:color w:val="auto"/>
              </w:rPr>
            </w:pPr>
          </w:p>
        </w:tc>
        <w:tc>
          <w:tcPr>
            <w:tcW w:w="4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1280" w:type="dxa"/>
            <w:vAlign w:val="bottom"/>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c>
          <w:tcPr>
            <w:tcW w:w="1200" w:type="dxa"/>
            <w:vAlign w:val="bottom"/>
            <w:shd w:val="clear" w:color="auto" w:fill="CCECFF"/>
          </w:tcPr>
          <w:p>
            <w:pPr>
              <w:spacing w:after="0"/>
              <w:rPr>
                <w:sz w:val="17"/>
                <w:szCs w:val="17"/>
                <w:color w:val="auto"/>
              </w:rPr>
            </w:pPr>
          </w:p>
        </w:tc>
        <w:tc>
          <w:tcPr>
            <w:tcW w:w="48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62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180" w:type="dxa"/>
            <w:vAlign w:val="bottom"/>
            <w:shd w:val="clear" w:color="auto" w:fill="CCECFF"/>
          </w:tcPr>
          <w:p>
            <w:pPr>
              <w:spacing w:after="0"/>
              <w:rPr>
                <w:sz w:val="17"/>
                <w:szCs w:val="17"/>
                <w:color w:val="auto"/>
              </w:rPr>
            </w:pPr>
          </w:p>
        </w:tc>
        <w:tc>
          <w:tcPr>
            <w:tcW w:w="20" w:type="dxa"/>
            <w:vAlign w:val="bottom"/>
            <w:shd w:val="clear" w:color="auto" w:fill="CCECFF"/>
          </w:tcPr>
          <w:p>
            <w:pPr>
              <w:spacing w:after="0"/>
              <w:rPr>
                <w:sz w:val="17"/>
                <w:szCs w:val="17"/>
                <w:color w:val="auto"/>
              </w:rPr>
            </w:pPr>
          </w:p>
        </w:tc>
        <w:tc>
          <w:tcPr>
            <w:tcW w:w="440" w:type="dxa"/>
            <w:vAlign w:val="bottom"/>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280" w:type="dxa"/>
            <w:vAlign w:val="bottom"/>
            <w:shd w:val="clear" w:color="auto" w:fill="CCECFF"/>
          </w:tcPr>
          <w:p>
            <w:pPr>
              <w:spacing w:after="0"/>
              <w:rPr>
                <w:sz w:val="17"/>
                <w:szCs w:val="17"/>
                <w:color w:val="auto"/>
              </w:rPr>
            </w:pPr>
          </w:p>
        </w:tc>
        <w:tc>
          <w:tcPr>
            <w:tcW w:w="44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and</w:t>
            </w:r>
          </w:p>
        </w:tc>
        <w:tc>
          <w:tcPr>
            <w:tcW w:w="340" w:type="dxa"/>
            <w:vAlign w:val="bottom"/>
            <w:shd w:val="clear" w:color="auto" w:fill="CCECFF"/>
          </w:tcPr>
          <w:p>
            <w:pPr>
              <w:spacing w:after="0"/>
              <w:rPr>
                <w:sz w:val="18"/>
                <w:szCs w:val="18"/>
                <w:color w:val="auto"/>
              </w:rPr>
            </w:pPr>
          </w:p>
        </w:tc>
        <w:tc>
          <w:tcPr>
            <w:tcW w:w="152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128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700" w:type="dxa"/>
            <w:vAlign w:val="bottom"/>
            <w:gridSpan w:val="2"/>
            <w:vMerge w:val="restart"/>
            <w:shd w:val="clear" w:color="auto" w:fill="CCECFF"/>
          </w:tcPr>
          <w:p>
            <w:pPr>
              <w:jc w:val="center"/>
              <w:spacing w:after="0"/>
              <w:rPr>
                <w:sz w:val="20"/>
                <w:szCs w:val="20"/>
                <w:color w:val="auto"/>
              </w:rPr>
            </w:pPr>
            <w:r>
              <w:rPr>
                <w:rFonts w:ascii="Times New Roman" w:cs="Times New Roman" w:eastAsia="Times New Roman" w:hAnsi="Times New Roman"/>
                <w:sz w:val="18"/>
                <w:szCs w:val="18"/>
                <w:b w:val="1"/>
                <w:bCs w:val="1"/>
                <w:color w:val="auto"/>
              </w:rPr>
              <w:t>4(aa)</w:t>
            </w:r>
          </w:p>
        </w:tc>
        <w:tc>
          <w:tcPr>
            <w:tcW w:w="220" w:type="dxa"/>
            <w:vAlign w:val="bottom"/>
            <w:shd w:val="clear" w:color="auto" w:fill="CCECFF"/>
          </w:tcPr>
          <w:p>
            <w:pPr>
              <w:spacing w:after="0"/>
              <w:rPr>
                <w:sz w:val="18"/>
                <w:szCs w:val="18"/>
                <w:color w:val="auto"/>
              </w:rPr>
            </w:pPr>
          </w:p>
        </w:tc>
        <w:tc>
          <w:tcPr>
            <w:tcW w:w="118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500" w:type="dxa"/>
            <w:vAlign w:val="bottom"/>
            <w:gridSpan w:val="2"/>
            <w:vMerge w:val="restart"/>
            <w:shd w:val="clear" w:color="auto" w:fill="CCECFF"/>
          </w:tcPr>
          <w:p>
            <w:pPr>
              <w:ind w:left="40"/>
              <w:spacing w:after="0"/>
              <w:rPr>
                <w:sz w:val="20"/>
                <w:szCs w:val="20"/>
                <w:color w:val="auto"/>
              </w:rPr>
            </w:pPr>
            <w:r>
              <w:rPr>
                <w:rFonts w:ascii="Times New Roman" w:cs="Times New Roman" w:eastAsia="Times New Roman" w:hAnsi="Times New Roman"/>
                <w:sz w:val="18"/>
                <w:szCs w:val="18"/>
                <w:b w:val="1"/>
                <w:bCs w:val="1"/>
                <w:color w:val="auto"/>
              </w:rPr>
              <w:t>4(b)</w:t>
            </w:r>
          </w:p>
        </w:tc>
        <w:tc>
          <w:tcPr>
            <w:tcW w:w="280" w:type="dxa"/>
            <w:vAlign w:val="bottom"/>
            <w:shd w:val="clear" w:color="auto" w:fill="CCECFF"/>
          </w:tcPr>
          <w:p>
            <w:pPr>
              <w:spacing w:after="0"/>
              <w:rPr>
                <w:sz w:val="18"/>
                <w:szCs w:val="18"/>
                <w:color w:val="auto"/>
              </w:rPr>
            </w:pPr>
          </w:p>
        </w:tc>
        <w:tc>
          <w:tcPr>
            <w:tcW w:w="128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administrative</w:t>
            </w:r>
          </w:p>
        </w:tc>
        <w:tc>
          <w:tcPr>
            <w:tcW w:w="340" w:type="dxa"/>
            <w:vAlign w:val="bottom"/>
            <w:shd w:val="clear" w:color="auto" w:fill="CCECFF"/>
          </w:tcPr>
          <w:p>
            <w:pPr>
              <w:spacing w:after="0"/>
              <w:rPr>
                <w:sz w:val="20"/>
                <w:szCs w:val="20"/>
                <w:color w:val="auto"/>
              </w:rPr>
            </w:pPr>
          </w:p>
        </w:tc>
        <w:tc>
          <w:tcPr>
            <w:tcW w:w="152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13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52,471</w:t>
            </w:r>
          </w:p>
        </w:tc>
        <w:tc>
          <w:tcPr>
            <w:tcW w:w="1200" w:type="dxa"/>
            <w:vAlign w:val="bottom"/>
            <w:shd w:val="clear" w:color="auto" w:fill="CCECFF"/>
          </w:tcPr>
          <w:p>
            <w:pPr>
              <w:spacing w:after="0"/>
              <w:rPr>
                <w:sz w:val="20"/>
                <w:szCs w:val="20"/>
                <w:color w:val="auto"/>
              </w:rPr>
            </w:pPr>
          </w:p>
        </w:tc>
        <w:tc>
          <w:tcPr>
            <w:tcW w:w="5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8"/>
                <w:szCs w:val="18"/>
                <w:color w:val="auto"/>
              </w:rPr>
              <w:t>351</w:t>
            </w:r>
          </w:p>
        </w:tc>
        <w:tc>
          <w:tcPr>
            <w:tcW w:w="700" w:type="dxa"/>
            <w:vAlign w:val="bottom"/>
            <w:gridSpan w:val="2"/>
            <w:vMerge w:val="continue"/>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2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1,225</w:t>
            </w:r>
          </w:p>
        </w:tc>
        <w:tc>
          <w:tcPr>
            <w:tcW w:w="500" w:type="dxa"/>
            <w:vAlign w:val="bottom"/>
            <w:gridSpan w:val="2"/>
            <w:vMerge w:val="continue"/>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59,886</w:t>
            </w:r>
          </w:p>
        </w:tc>
        <w:tc>
          <w:tcPr>
            <w:tcW w:w="44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4(d)</w:t>
            </w:r>
          </w:p>
        </w:tc>
        <w:tc>
          <w:tcPr>
            <w:tcW w:w="28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52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128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48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CFF"/>
          </w:tcPr>
          <w:p>
            <w:pPr>
              <w:spacing w:after="0"/>
              <w:rPr>
                <w:sz w:val="18"/>
                <w:szCs w:val="18"/>
                <w:color w:val="auto"/>
              </w:rPr>
            </w:pPr>
          </w:p>
        </w:tc>
        <w:tc>
          <w:tcPr>
            <w:tcW w:w="62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2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c>
          <w:tcPr>
            <w:tcW w:w="500" w:type="dxa"/>
            <w:vAlign w:val="bottom"/>
            <w:gridSpan w:val="2"/>
            <w:shd w:val="clear" w:color="auto" w:fill="CCECFF"/>
          </w:tcPr>
          <w:p>
            <w:pPr>
              <w:ind w:left="40"/>
              <w:spacing w:after="0"/>
              <w:rPr>
                <w:sz w:val="20"/>
                <w:szCs w:val="20"/>
                <w:color w:val="auto"/>
              </w:rPr>
            </w:pPr>
            <w:r>
              <w:rPr>
                <w:rFonts w:ascii="Times New Roman" w:cs="Times New Roman" w:eastAsia="Times New Roman" w:hAnsi="Times New Roman"/>
                <w:sz w:val="18"/>
                <w:szCs w:val="18"/>
                <w:b w:val="1"/>
                <w:bCs w:val="1"/>
                <w:color w:val="auto"/>
              </w:rPr>
              <w:t>4(f)</w:t>
            </w:r>
          </w:p>
        </w:tc>
        <w:tc>
          <w:tcPr>
            <w:tcW w:w="280" w:type="dxa"/>
            <w:vAlign w:val="bottom"/>
            <w:shd w:val="clear" w:color="auto" w:fill="CCECFF"/>
          </w:tcPr>
          <w:p>
            <w:pPr>
              <w:spacing w:after="0"/>
              <w:rPr>
                <w:sz w:val="18"/>
                <w:szCs w:val="18"/>
                <w:color w:val="auto"/>
              </w:rPr>
            </w:pPr>
          </w:p>
        </w:tc>
        <w:tc>
          <w:tcPr>
            <w:tcW w:w="128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5,311</w:t>
            </w: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5(a)</w:t>
            </w:r>
          </w:p>
        </w:tc>
        <w:tc>
          <w:tcPr>
            <w:tcW w:w="28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300" w:type="dxa"/>
            <w:vAlign w:val="bottom"/>
            <w:shd w:val="clear" w:color="auto" w:fill="CCECFF"/>
          </w:tcPr>
          <w:p>
            <w:pPr>
              <w:spacing w:after="0" w:line="198" w:lineRule="exact"/>
              <w:rPr>
                <w:sz w:val="20"/>
                <w:szCs w:val="20"/>
                <w:color w:val="auto"/>
              </w:rPr>
            </w:pPr>
            <w:r>
              <w:rPr>
                <w:rFonts w:ascii="Times New Roman" w:cs="Times New Roman" w:eastAsia="Times New Roman" w:hAnsi="Times New Roman"/>
                <w:sz w:val="18"/>
                <w:szCs w:val="18"/>
                <w:color w:val="auto"/>
              </w:rPr>
              <w:t>General and</w:t>
            </w:r>
          </w:p>
        </w:tc>
        <w:tc>
          <w:tcPr>
            <w:tcW w:w="340" w:type="dxa"/>
            <w:vAlign w:val="bottom"/>
            <w:shd w:val="clear" w:color="auto" w:fill="CCECFF"/>
          </w:tcPr>
          <w:p>
            <w:pPr>
              <w:spacing w:after="0"/>
              <w:rPr>
                <w:sz w:val="17"/>
                <w:szCs w:val="17"/>
                <w:color w:val="auto"/>
              </w:rPr>
            </w:pPr>
          </w:p>
        </w:tc>
        <w:tc>
          <w:tcPr>
            <w:tcW w:w="1520" w:type="dxa"/>
            <w:vAlign w:val="bottom"/>
            <w:shd w:val="clear" w:color="auto" w:fill="CCECFF"/>
          </w:tcPr>
          <w:p>
            <w:pPr>
              <w:spacing w:after="0"/>
              <w:rPr>
                <w:sz w:val="17"/>
                <w:szCs w:val="17"/>
                <w:color w:val="auto"/>
              </w:rPr>
            </w:pPr>
          </w:p>
        </w:tc>
        <w:tc>
          <w:tcPr>
            <w:tcW w:w="4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1280" w:type="dxa"/>
            <w:vAlign w:val="bottom"/>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c>
          <w:tcPr>
            <w:tcW w:w="1200" w:type="dxa"/>
            <w:vAlign w:val="bottom"/>
            <w:shd w:val="clear" w:color="auto" w:fill="CCECFF"/>
          </w:tcPr>
          <w:p>
            <w:pPr>
              <w:spacing w:after="0"/>
              <w:rPr>
                <w:sz w:val="17"/>
                <w:szCs w:val="17"/>
                <w:color w:val="auto"/>
              </w:rPr>
            </w:pPr>
          </w:p>
        </w:tc>
        <w:tc>
          <w:tcPr>
            <w:tcW w:w="48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62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180" w:type="dxa"/>
            <w:vAlign w:val="bottom"/>
            <w:shd w:val="clear" w:color="auto" w:fill="CCECFF"/>
          </w:tcPr>
          <w:p>
            <w:pPr>
              <w:spacing w:after="0"/>
              <w:rPr>
                <w:sz w:val="17"/>
                <w:szCs w:val="17"/>
                <w:color w:val="auto"/>
              </w:rPr>
            </w:pPr>
          </w:p>
        </w:tc>
        <w:tc>
          <w:tcPr>
            <w:tcW w:w="20" w:type="dxa"/>
            <w:vAlign w:val="bottom"/>
            <w:shd w:val="clear" w:color="auto" w:fill="CCECFF"/>
          </w:tcPr>
          <w:p>
            <w:pPr>
              <w:spacing w:after="0"/>
              <w:rPr>
                <w:sz w:val="17"/>
                <w:szCs w:val="17"/>
                <w:color w:val="auto"/>
              </w:rPr>
            </w:pPr>
          </w:p>
        </w:tc>
        <w:tc>
          <w:tcPr>
            <w:tcW w:w="500" w:type="dxa"/>
            <w:vAlign w:val="bottom"/>
            <w:gridSpan w:val="2"/>
            <w:vMerge w:val="restart"/>
            <w:shd w:val="clear" w:color="auto" w:fill="CCECFF"/>
          </w:tcPr>
          <w:p>
            <w:pPr>
              <w:ind w:left="40"/>
              <w:spacing w:after="0"/>
              <w:rPr>
                <w:sz w:val="20"/>
                <w:szCs w:val="20"/>
                <w:color w:val="auto"/>
              </w:rPr>
            </w:pPr>
            <w:r>
              <w:rPr>
                <w:rFonts w:ascii="Times New Roman" w:cs="Times New Roman" w:eastAsia="Times New Roman" w:hAnsi="Times New Roman"/>
                <w:sz w:val="18"/>
                <w:szCs w:val="18"/>
                <w:b w:val="1"/>
                <w:bCs w:val="1"/>
                <w:color w:val="auto"/>
              </w:rPr>
              <w:t>5(a)</w:t>
            </w:r>
          </w:p>
        </w:tc>
        <w:tc>
          <w:tcPr>
            <w:tcW w:w="280" w:type="dxa"/>
            <w:vAlign w:val="bottom"/>
            <w:shd w:val="clear" w:color="auto" w:fill="CCECFF"/>
          </w:tcPr>
          <w:p>
            <w:pPr>
              <w:spacing w:after="0"/>
              <w:rPr>
                <w:sz w:val="17"/>
                <w:szCs w:val="17"/>
                <w:color w:val="auto"/>
              </w:rPr>
            </w:pPr>
          </w:p>
        </w:tc>
        <w:tc>
          <w:tcPr>
            <w:tcW w:w="1280" w:type="dxa"/>
            <w:vAlign w:val="bottom"/>
            <w:shd w:val="clear" w:color="auto" w:fill="CCECFF"/>
          </w:tcPr>
          <w:p>
            <w:pPr>
              <w:spacing w:after="0"/>
              <w:rPr>
                <w:sz w:val="17"/>
                <w:szCs w:val="17"/>
                <w:color w:val="auto"/>
              </w:rPr>
            </w:pPr>
          </w:p>
        </w:tc>
        <w:tc>
          <w:tcPr>
            <w:tcW w:w="44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administrative</w:t>
            </w:r>
          </w:p>
        </w:tc>
        <w:tc>
          <w:tcPr>
            <w:tcW w:w="340" w:type="dxa"/>
            <w:vAlign w:val="bottom"/>
            <w:shd w:val="clear" w:color="auto" w:fill="CCECFF"/>
          </w:tcPr>
          <w:p>
            <w:pPr>
              <w:spacing w:after="0"/>
              <w:rPr>
                <w:sz w:val="20"/>
                <w:szCs w:val="20"/>
                <w:color w:val="auto"/>
              </w:rPr>
            </w:pPr>
          </w:p>
        </w:tc>
        <w:tc>
          <w:tcPr>
            <w:tcW w:w="15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1,356</w:t>
            </w:r>
          </w:p>
        </w:tc>
        <w:tc>
          <w:tcPr>
            <w:tcW w:w="320" w:type="dxa"/>
            <w:vAlign w:val="bottom"/>
            <w:shd w:val="clear" w:color="auto" w:fill="CCECFF"/>
          </w:tcPr>
          <w:p>
            <w:pPr>
              <w:spacing w:after="0"/>
              <w:rPr>
                <w:sz w:val="20"/>
                <w:szCs w:val="20"/>
                <w:color w:val="auto"/>
              </w:rPr>
            </w:pPr>
          </w:p>
        </w:tc>
        <w:tc>
          <w:tcPr>
            <w:tcW w:w="128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CFF"/>
          </w:tcPr>
          <w:p>
            <w:pPr>
              <w:spacing w:after="0"/>
              <w:rPr>
                <w:sz w:val="20"/>
                <w:szCs w:val="20"/>
                <w:color w:val="auto"/>
              </w:rPr>
            </w:pPr>
          </w:p>
        </w:tc>
        <w:tc>
          <w:tcPr>
            <w:tcW w:w="1200" w:type="dxa"/>
            <w:vAlign w:val="bottom"/>
            <w:shd w:val="clear" w:color="auto" w:fill="CCECFF"/>
          </w:tcPr>
          <w:p>
            <w:pPr>
              <w:spacing w:after="0"/>
              <w:rPr>
                <w:sz w:val="20"/>
                <w:szCs w:val="20"/>
                <w:color w:val="auto"/>
              </w:rPr>
            </w:pPr>
          </w:p>
        </w:tc>
        <w:tc>
          <w:tcPr>
            <w:tcW w:w="48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CFF"/>
          </w:tcPr>
          <w:p>
            <w:pPr>
              <w:spacing w:after="0"/>
              <w:rPr>
                <w:sz w:val="20"/>
                <w:szCs w:val="20"/>
                <w:color w:val="auto"/>
              </w:rPr>
            </w:pPr>
          </w:p>
        </w:tc>
        <w:tc>
          <w:tcPr>
            <w:tcW w:w="620" w:type="dxa"/>
            <w:vAlign w:val="bottom"/>
            <w:shd w:val="clear" w:color="auto" w:fill="CCECFF"/>
          </w:tcPr>
          <w:p>
            <w:pPr>
              <w:spacing w:after="0"/>
              <w:rPr>
                <w:sz w:val="20"/>
                <w:szCs w:val="20"/>
                <w:color w:val="auto"/>
              </w:rPr>
            </w:pPr>
          </w:p>
        </w:tc>
        <w:tc>
          <w:tcPr>
            <w:tcW w:w="8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2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(1,356)</w:t>
            </w:r>
          </w:p>
        </w:tc>
        <w:tc>
          <w:tcPr>
            <w:tcW w:w="500" w:type="dxa"/>
            <w:vAlign w:val="bottom"/>
            <w:gridSpan w:val="2"/>
            <w:vMerge w:val="continue"/>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28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Transaction</w:t>
            </w:r>
          </w:p>
        </w:tc>
        <w:tc>
          <w:tcPr>
            <w:tcW w:w="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5(a)</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tcPr>
          <w:p>
            <w:pPr>
              <w:spacing w:after="0"/>
              <w:rPr>
                <w:sz w:val="20"/>
                <w:szCs w:val="20"/>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3,955</w:t>
            </w:r>
          </w:p>
        </w:tc>
        <w:tc>
          <w:tcPr>
            <w:tcW w:w="32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(3,955)</w:t>
            </w:r>
          </w:p>
        </w:tc>
        <w:tc>
          <w:tcPr>
            <w:tcW w:w="50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00" w:type="dxa"/>
            <w:vAlign w:val="bottom"/>
            <w:shd w:val="clear" w:color="auto" w:fill="CCECFF"/>
          </w:tcPr>
          <w:p>
            <w:pPr>
              <w:spacing w:after="0" w:line="198" w:lineRule="exact"/>
              <w:rPr>
                <w:sz w:val="20"/>
                <w:szCs w:val="20"/>
                <w:color w:val="auto"/>
              </w:rPr>
            </w:pPr>
            <w:r>
              <w:rPr>
                <w:rFonts w:ascii="Times New Roman" w:cs="Times New Roman" w:eastAsia="Times New Roman" w:hAnsi="Times New Roman"/>
                <w:sz w:val="18"/>
                <w:szCs w:val="18"/>
                <w:color w:val="auto"/>
              </w:rPr>
              <w:t>Amortization of</w:t>
            </w:r>
          </w:p>
        </w:tc>
        <w:tc>
          <w:tcPr>
            <w:tcW w:w="340" w:type="dxa"/>
            <w:vAlign w:val="bottom"/>
            <w:shd w:val="clear" w:color="auto" w:fill="CCECFF"/>
          </w:tcPr>
          <w:p>
            <w:pPr>
              <w:spacing w:after="0"/>
              <w:rPr>
                <w:sz w:val="17"/>
                <w:szCs w:val="17"/>
                <w:color w:val="auto"/>
              </w:rPr>
            </w:pPr>
          </w:p>
        </w:tc>
        <w:tc>
          <w:tcPr>
            <w:tcW w:w="1520" w:type="dxa"/>
            <w:vAlign w:val="bottom"/>
            <w:shd w:val="clear" w:color="auto" w:fill="CCECFF"/>
          </w:tcPr>
          <w:p>
            <w:pPr>
              <w:spacing w:after="0"/>
              <w:rPr>
                <w:sz w:val="17"/>
                <w:szCs w:val="17"/>
                <w:color w:val="auto"/>
              </w:rPr>
            </w:pPr>
          </w:p>
        </w:tc>
        <w:tc>
          <w:tcPr>
            <w:tcW w:w="4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1280" w:type="dxa"/>
            <w:vAlign w:val="bottom"/>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c>
          <w:tcPr>
            <w:tcW w:w="1200" w:type="dxa"/>
            <w:vAlign w:val="bottom"/>
            <w:shd w:val="clear" w:color="auto" w:fill="CCECFF"/>
          </w:tcPr>
          <w:p>
            <w:pPr>
              <w:spacing w:after="0"/>
              <w:rPr>
                <w:sz w:val="17"/>
                <w:szCs w:val="17"/>
                <w:color w:val="auto"/>
              </w:rPr>
            </w:pPr>
          </w:p>
        </w:tc>
        <w:tc>
          <w:tcPr>
            <w:tcW w:w="48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62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180" w:type="dxa"/>
            <w:vAlign w:val="bottom"/>
            <w:shd w:val="clear" w:color="auto" w:fill="CCECFF"/>
          </w:tcPr>
          <w:p>
            <w:pPr>
              <w:spacing w:after="0"/>
              <w:rPr>
                <w:sz w:val="17"/>
                <w:szCs w:val="17"/>
                <w:color w:val="auto"/>
              </w:rPr>
            </w:pPr>
          </w:p>
        </w:tc>
        <w:tc>
          <w:tcPr>
            <w:tcW w:w="20" w:type="dxa"/>
            <w:vAlign w:val="bottom"/>
            <w:shd w:val="clear" w:color="auto" w:fill="CCECFF"/>
          </w:tcPr>
          <w:p>
            <w:pPr>
              <w:spacing w:after="0"/>
              <w:rPr>
                <w:sz w:val="17"/>
                <w:szCs w:val="17"/>
                <w:color w:val="auto"/>
              </w:rPr>
            </w:pPr>
          </w:p>
        </w:tc>
        <w:tc>
          <w:tcPr>
            <w:tcW w:w="440" w:type="dxa"/>
            <w:vAlign w:val="bottom"/>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280" w:type="dxa"/>
            <w:vAlign w:val="bottom"/>
            <w:shd w:val="clear" w:color="auto" w:fill="CCECFF"/>
          </w:tcPr>
          <w:p>
            <w:pPr>
              <w:spacing w:after="0"/>
              <w:rPr>
                <w:sz w:val="17"/>
                <w:szCs w:val="17"/>
                <w:color w:val="auto"/>
              </w:rPr>
            </w:pPr>
          </w:p>
        </w:tc>
        <w:tc>
          <w:tcPr>
            <w:tcW w:w="44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intangibles</w:t>
            </w:r>
          </w:p>
        </w:tc>
        <w:tc>
          <w:tcPr>
            <w:tcW w:w="340" w:type="dxa"/>
            <w:vAlign w:val="bottom"/>
            <w:shd w:val="clear" w:color="auto" w:fill="CCECFF"/>
          </w:tcPr>
          <w:p>
            <w:pPr>
              <w:spacing w:after="0"/>
              <w:rPr>
                <w:sz w:val="20"/>
                <w:szCs w:val="20"/>
                <w:color w:val="auto"/>
              </w:rPr>
            </w:pPr>
          </w:p>
        </w:tc>
        <w:tc>
          <w:tcPr>
            <w:tcW w:w="152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13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1,552</w:t>
            </w:r>
          </w:p>
        </w:tc>
        <w:tc>
          <w:tcPr>
            <w:tcW w:w="1200" w:type="dxa"/>
            <w:vAlign w:val="bottom"/>
            <w:shd w:val="clear" w:color="auto" w:fill="CCECFF"/>
          </w:tcPr>
          <w:p>
            <w:pPr>
              <w:spacing w:after="0"/>
              <w:rPr>
                <w:sz w:val="20"/>
                <w:szCs w:val="20"/>
                <w:color w:val="auto"/>
              </w:rPr>
            </w:pPr>
          </w:p>
        </w:tc>
        <w:tc>
          <w:tcPr>
            <w:tcW w:w="48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CFF"/>
          </w:tcPr>
          <w:p>
            <w:pPr>
              <w:spacing w:after="0"/>
              <w:rPr>
                <w:sz w:val="20"/>
                <w:szCs w:val="20"/>
                <w:color w:val="auto"/>
              </w:rPr>
            </w:pPr>
          </w:p>
        </w:tc>
        <w:tc>
          <w:tcPr>
            <w:tcW w:w="620" w:type="dxa"/>
            <w:vAlign w:val="bottom"/>
            <w:shd w:val="clear" w:color="auto" w:fill="CCECFF"/>
          </w:tcPr>
          <w:p>
            <w:pPr>
              <w:spacing w:after="0"/>
              <w:rPr>
                <w:sz w:val="20"/>
                <w:szCs w:val="20"/>
                <w:color w:val="auto"/>
              </w:rPr>
            </w:pPr>
          </w:p>
        </w:tc>
        <w:tc>
          <w:tcPr>
            <w:tcW w:w="8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18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CFF"/>
          </w:tcPr>
          <w:p>
            <w:pPr>
              <w:spacing w:after="0"/>
              <w:rPr>
                <w:sz w:val="20"/>
                <w:szCs w:val="20"/>
                <w:color w:val="auto"/>
              </w:rPr>
            </w:pPr>
          </w:p>
        </w:tc>
        <w:tc>
          <w:tcPr>
            <w:tcW w:w="440" w:type="dxa"/>
            <w:vAlign w:val="bottom"/>
            <w:shd w:val="clear" w:color="auto" w:fill="CCECFF"/>
          </w:tcPr>
          <w:p>
            <w:pPr>
              <w:spacing w:after="0"/>
              <w:rPr>
                <w:sz w:val="20"/>
                <w:szCs w:val="20"/>
                <w:color w:val="auto"/>
              </w:rPr>
            </w:pPr>
          </w:p>
        </w:tc>
        <w:tc>
          <w:tcPr>
            <w:tcW w:w="6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44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Asset</w:t>
            </w:r>
          </w:p>
        </w:tc>
        <w:tc>
          <w:tcPr>
            <w:tcW w:w="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charge</w:t>
            </w:r>
          </w:p>
        </w:tc>
        <w:tc>
          <w:tcPr>
            <w:tcW w:w="340" w:type="dxa"/>
            <w:vAlign w:val="bottom"/>
          </w:tcPr>
          <w:p>
            <w:pPr>
              <w:spacing w:after="0"/>
              <w:rPr>
                <w:sz w:val="20"/>
                <w:szCs w:val="20"/>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16,659</w:t>
            </w:r>
          </w:p>
        </w:tc>
        <w:tc>
          <w:tcPr>
            <w:tcW w:w="1200" w:type="dxa"/>
            <w:vAlign w:val="bottom"/>
          </w:tcPr>
          <w:p>
            <w:pPr>
              <w:spacing w:after="0"/>
              <w:rPr>
                <w:sz w:val="20"/>
                <w:szCs w:val="20"/>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16,659</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00" w:type="dxa"/>
            <w:vAlign w:val="bottom"/>
            <w:shd w:val="clear" w:color="auto" w:fill="CCECFF"/>
          </w:tcPr>
          <w:p>
            <w:pPr>
              <w:spacing w:after="0" w:line="198" w:lineRule="exact"/>
              <w:rPr>
                <w:sz w:val="20"/>
                <w:szCs w:val="20"/>
                <w:color w:val="auto"/>
              </w:rPr>
            </w:pPr>
            <w:r>
              <w:rPr>
                <w:rFonts w:ascii="Times New Roman" w:cs="Times New Roman" w:eastAsia="Times New Roman" w:hAnsi="Times New Roman"/>
                <w:sz w:val="18"/>
                <w:szCs w:val="18"/>
                <w:color w:val="auto"/>
              </w:rPr>
              <w:t>Restructuring</w:t>
            </w:r>
          </w:p>
        </w:tc>
        <w:tc>
          <w:tcPr>
            <w:tcW w:w="340" w:type="dxa"/>
            <w:vAlign w:val="bottom"/>
            <w:shd w:val="clear" w:color="auto" w:fill="CCECFF"/>
          </w:tcPr>
          <w:p>
            <w:pPr>
              <w:spacing w:after="0"/>
              <w:rPr>
                <w:sz w:val="17"/>
                <w:szCs w:val="17"/>
                <w:color w:val="auto"/>
              </w:rPr>
            </w:pPr>
          </w:p>
        </w:tc>
        <w:tc>
          <w:tcPr>
            <w:tcW w:w="1520" w:type="dxa"/>
            <w:vAlign w:val="bottom"/>
            <w:shd w:val="clear" w:color="auto" w:fill="CCECFF"/>
          </w:tcPr>
          <w:p>
            <w:pPr>
              <w:spacing w:after="0"/>
              <w:rPr>
                <w:sz w:val="17"/>
                <w:szCs w:val="17"/>
                <w:color w:val="auto"/>
              </w:rPr>
            </w:pPr>
          </w:p>
        </w:tc>
        <w:tc>
          <w:tcPr>
            <w:tcW w:w="4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1280" w:type="dxa"/>
            <w:vAlign w:val="bottom"/>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c>
          <w:tcPr>
            <w:tcW w:w="1200" w:type="dxa"/>
            <w:vAlign w:val="bottom"/>
            <w:shd w:val="clear" w:color="auto" w:fill="CCECFF"/>
          </w:tcPr>
          <w:p>
            <w:pPr>
              <w:spacing w:after="0"/>
              <w:rPr>
                <w:sz w:val="17"/>
                <w:szCs w:val="17"/>
                <w:color w:val="auto"/>
              </w:rPr>
            </w:pPr>
          </w:p>
        </w:tc>
        <w:tc>
          <w:tcPr>
            <w:tcW w:w="48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620" w:type="dxa"/>
            <w:vAlign w:val="bottom"/>
            <w:vMerge w:val="restart"/>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180" w:type="dxa"/>
            <w:vAlign w:val="bottom"/>
            <w:shd w:val="clear" w:color="auto" w:fill="CCECFF"/>
          </w:tcPr>
          <w:p>
            <w:pPr>
              <w:spacing w:after="0"/>
              <w:rPr>
                <w:sz w:val="17"/>
                <w:szCs w:val="17"/>
                <w:color w:val="auto"/>
              </w:rPr>
            </w:pPr>
          </w:p>
        </w:tc>
        <w:tc>
          <w:tcPr>
            <w:tcW w:w="20" w:type="dxa"/>
            <w:vAlign w:val="bottom"/>
            <w:shd w:val="clear" w:color="auto" w:fill="CCECFF"/>
          </w:tcPr>
          <w:p>
            <w:pPr>
              <w:spacing w:after="0"/>
              <w:rPr>
                <w:sz w:val="17"/>
                <w:szCs w:val="17"/>
                <w:color w:val="auto"/>
              </w:rPr>
            </w:pPr>
          </w:p>
        </w:tc>
        <w:tc>
          <w:tcPr>
            <w:tcW w:w="440" w:type="dxa"/>
            <w:vAlign w:val="bottom"/>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280" w:type="dxa"/>
            <w:vAlign w:val="bottom"/>
            <w:shd w:val="clear" w:color="auto" w:fill="CCECFF"/>
          </w:tcPr>
          <w:p>
            <w:pPr>
              <w:spacing w:after="0"/>
              <w:rPr>
                <w:sz w:val="17"/>
                <w:szCs w:val="17"/>
                <w:color w:val="auto"/>
              </w:rPr>
            </w:pPr>
          </w:p>
        </w:tc>
        <w:tc>
          <w:tcPr>
            <w:tcW w:w="44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expense</w:t>
            </w:r>
          </w:p>
        </w:tc>
        <w:tc>
          <w:tcPr>
            <w:tcW w:w="340" w:type="dxa"/>
            <w:vAlign w:val="bottom"/>
            <w:shd w:val="clear" w:color="auto" w:fill="CCECFF"/>
          </w:tcPr>
          <w:p>
            <w:pPr>
              <w:spacing w:after="0"/>
              <w:rPr>
                <w:sz w:val="20"/>
                <w:szCs w:val="20"/>
                <w:color w:val="auto"/>
              </w:rPr>
            </w:pPr>
          </w:p>
        </w:tc>
        <w:tc>
          <w:tcPr>
            <w:tcW w:w="152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13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7,054</w:t>
            </w:r>
          </w:p>
        </w:tc>
        <w:tc>
          <w:tcPr>
            <w:tcW w:w="1200" w:type="dxa"/>
            <w:vAlign w:val="bottom"/>
            <w:shd w:val="clear" w:color="auto" w:fill="CCECFF"/>
          </w:tcPr>
          <w:p>
            <w:pPr>
              <w:spacing w:after="0"/>
              <w:rPr>
                <w:sz w:val="20"/>
                <w:szCs w:val="20"/>
                <w:color w:val="auto"/>
              </w:rPr>
            </w:pPr>
          </w:p>
        </w:tc>
        <w:tc>
          <w:tcPr>
            <w:tcW w:w="48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CFF"/>
          </w:tcPr>
          <w:p>
            <w:pPr>
              <w:spacing w:after="0"/>
              <w:rPr>
                <w:sz w:val="20"/>
                <w:szCs w:val="20"/>
                <w:color w:val="auto"/>
              </w:rPr>
            </w:pPr>
          </w:p>
        </w:tc>
        <w:tc>
          <w:tcPr>
            <w:tcW w:w="620" w:type="dxa"/>
            <w:vAlign w:val="bottom"/>
            <w:vMerge w:val="continue"/>
            <w:shd w:val="clear" w:color="auto" w:fill="CCECFF"/>
          </w:tcPr>
          <w:p>
            <w:pPr>
              <w:spacing w:after="0"/>
              <w:rPr>
                <w:sz w:val="20"/>
                <w:szCs w:val="20"/>
                <w:color w:val="auto"/>
              </w:rPr>
            </w:pPr>
          </w:p>
        </w:tc>
        <w:tc>
          <w:tcPr>
            <w:tcW w:w="8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18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CFF"/>
          </w:tcPr>
          <w:p>
            <w:pPr>
              <w:spacing w:after="0"/>
              <w:rPr>
                <w:sz w:val="20"/>
                <w:szCs w:val="20"/>
                <w:color w:val="auto"/>
              </w:rPr>
            </w:pPr>
          </w:p>
        </w:tc>
        <w:tc>
          <w:tcPr>
            <w:tcW w:w="440" w:type="dxa"/>
            <w:vAlign w:val="bottom"/>
            <w:shd w:val="clear" w:color="auto" w:fill="CCECFF"/>
          </w:tcPr>
          <w:p>
            <w:pPr>
              <w:spacing w:after="0"/>
              <w:rPr>
                <w:sz w:val="20"/>
                <w:szCs w:val="20"/>
                <w:color w:val="auto"/>
              </w:rPr>
            </w:pPr>
          </w:p>
        </w:tc>
        <w:tc>
          <w:tcPr>
            <w:tcW w:w="6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7,054</w:t>
            </w:r>
          </w:p>
        </w:tc>
        <w:tc>
          <w:tcPr>
            <w:tcW w:w="44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30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Operating</w:t>
            </w:r>
          </w:p>
        </w:tc>
        <w:tc>
          <w:tcPr>
            <w:tcW w:w="34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340" w:type="dxa"/>
            <w:vAlign w:val="bottom"/>
          </w:tcPr>
          <w:p>
            <w:pPr>
              <w:spacing w:after="0"/>
              <w:rPr>
                <w:sz w:val="20"/>
                <w:szCs w:val="20"/>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(5,311)</w:t>
            </w:r>
          </w:p>
        </w:tc>
        <w:tc>
          <w:tcPr>
            <w:tcW w:w="32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(40,981)</w:t>
            </w:r>
          </w:p>
        </w:tc>
        <w:tc>
          <w:tcPr>
            <w:tcW w:w="120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(351)</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(1,753)</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(48,396)</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00" w:type="dxa"/>
            <w:vAlign w:val="bottom"/>
            <w:shd w:val="clear" w:color="auto" w:fill="CCECFF"/>
          </w:tcPr>
          <w:p>
            <w:pPr>
              <w:spacing w:after="0" w:line="198" w:lineRule="exact"/>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CFF"/>
          </w:tcPr>
          <w:p>
            <w:pPr>
              <w:spacing w:after="0"/>
              <w:rPr>
                <w:sz w:val="17"/>
                <w:szCs w:val="17"/>
                <w:color w:val="auto"/>
              </w:rPr>
            </w:pPr>
          </w:p>
        </w:tc>
        <w:tc>
          <w:tcPr>
            <w:tcW w:w="1520" w:type="dxa"/>
            <w:vAlign w:val="bottom"/>
            <w:shd w:val="clear" w:color="auto" w:fill="CCECFF"/>
          </w:tcPr>
          <w:p>
            <w:pPr>
              <w:spacing w:after="0"/>
              <w:rPr>
                <w:sz w:val="17"/>
                <w:szCs w:val="17"/>
                <w:color w:val="auto"/>
              </w:rPr>
            </w:pPr>
          </w:p>
        </w:tc>
        <w:tc>
          <w:tcPr>
            <w:tcW w:w="4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1280" w:type="dxa"/>
            <w:vAlign w:val="bottom"/>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c>
          <w:tcPr>
            <w:tcW w:w="1200" w:type="dxa"/>
            <w:vAlign w:val="bottom"/>
            <w:shd w:val="clear" w:color="auto" w:fill="CCECFF"/>
          </w:tcPr>
          <w:p>
            <w:pPr>
              <w:spacing w:after="0"/>
              <w:rPr>
                <w:sz w:val="17"/>
                <w:szCs w:val="17"/>
                <w:color w:val="auto"/>
              </w:rPr>
            </w:pPr>
          </w:p>
        </w:tc>
        <w:tc>
          <w:tcPr>
            <w:tcW w:w="48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62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180" w:type="dxa"/>
            <w:vAlign w:val="bottom"/>
            <w:shd w:val="clear" w:color="auto" w:fill="CCECFF"/>
          </w:tcPr>
          <w:p>
            <w:pPr>
              <w:spacing w:after="0"/>
              <w:rPr>
                <w:sz w:val="17"/>
                <w:szCs w:val="17"/>
                <w:color w:val="auto"/>
              </w:rPr>
            </w:pPr>
          </w:p>
        </w:tc>
        <w:tc>
          <w:tcPr>
            <w:tcW w:w="20" w:type="dxa"/>
            <w:vAlign w:val="bottom"/>
            <w:shd w:val="clear" w:color="auto" w:fill="CCECFF"/>
          </w:tcPr>
          <w:p>
            <w:pPr>
              <w:spacing w:after="0"/>
              <w:rPr>
                <w:sz w:val="17"/>
                <w:szCs w:val="17"/>
                <w:color w:val="auto"/>
              </w:rPr>
            </w:pPr>
          </w:p>
        </w:tc>
        <w:tc>
          <w:tcPr>
            <w:tcW w:w="500" w:type="dxa"/>
            <w:vAlign w:val="bottom"/>
            <w:gridSpan w:val="2"/>
            <w:vMerge w:val="restart"/>
            <w:shd w:val="clear" w:color="auto" w:fill="CCECFF"/>
          </w:tcPr>
          <w:p>
            <w:pPr>
              <w:ind w:left="40"/>
              <w:spacing w:after="0"/>
              <w:rPr>
                <w:sz w:val="20"/>
                <w:szCs w:val="20"/>
                <w:color w:val="auto"/>
              </w:rPr>
            </w:pPr>
            <w:r>
              <w:rPr>
                <w:rFonts w:ascii="Times New Roman" w:cs="Times New Roman" w:eastAsia="Times New Roman" w:hAnsi="Times New Roman"/>
                <w:sz w:val="18"/>
                <w:szCs w:val="18"/>
                <w:b w:val="1"/>
                <w:bCs w:val="1"/>
                <w:color w:val="auto"/>
              </w:rPr>
              <w:t>4(e)</w:t>
            </w:r>
          </w:p>
        </w:tc>
        <w:tc>
          <w:tcPr>
            <w:tcW w:w="280" w:type="dxa"/>
            <w:vAlign w:val="bottom"/>
            <w:shd w:val="clear" w:color="auto" w:fill="CCECFF"/>
          </w:tcPr>
          <w:p>
            <w:pPr>
              <w:spacing w:after="0"/>
              <w:rPr>
                <w:sz w:val="17"/>
                <w:szCs w:val="17"/>
                <w:color w:val="auto"/>
              </w:rPr>
            </w:pPr>
          </w:p>
        </w:tc>
        <w:tc>
          <w:tcPr>
            <w:tcW w:w="1280" w:type="dxa"/>
            <w:vAlign w:val="bottom"/>
            <w:shd w:val="clear" w:color="auto" w:fill="CCECFF"/>
          </w:tcPr>
          <w:p>
            <w:pPr>
              <w:spacing w:after="0"/>
              <w:rPr>
                <w:sz w:val="17"/>
                <w:szCs w:val="17"/>
                <w:color w:val="auto"/>
              </w:rPr>
            </w:pPr>
          </w:p>
        </w:tc>
        <w:tc>
          <w:tcPr>
            <w:tcW w:w="44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net</w:t>
            </w:r>
          </w:p>
        </w:tc>
        <w:tc>
          <w:tcPr>
            <w:tcW w:w="340" w:type="dxa"/>
            <w:vAlign w:val="bottom"/>
            <w:shd w:val="clear" w:color="auto" w:fill="CCECFF"/>
          </w:tcPr>
          <w:p>
            <w:pPr>
              <w:spacing w:after="0"/>
              <w:rPr>
                <w:sz w:val="20"/>
                <w:szCs w:val="20"/>
                <w:color w:val="auto"/>
              </w:rPr>
            </w:pPr>
          </w:p>
        </w:tc>
        <w:tc>
          <w:tcPr>
            <w:tcW w:w="152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13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(9,701)</w:t>
            </w:r>
          </w:p>
        </w:tc>
        <w:tc>
          <w:tcPr>
            <w:tcW w:w="1200" w:type="dxa"/>
            <w:vAlign w:val="bottom"/>
            <w:shd w:val="clear" w:color="auto" w:fill="CCECFF"/>
          </w:tcPr>
          <w:p>
            <w:pPr>
              <w:spacing w:after="0"/>
              <w:rPr>
                <w:sz w:val="20"/>
                <w:szCs w:val="20"/>
                <w:color w:val="auto"/>
              </w:rPr>
            </w:pPr>
          </w:p>
        </w:tc>
        <w:tc>
          <w:tcPr>
            <w:tcW w:w="48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CFF"/>
          </w:tcPr>
          <w:p>
            <w:pPr>
              <w:spacing w:after="0"/>
              <w:rPr>
                <w:sz w:val="20"/>
                <w:szCs w:val="20"/>
                <w:color w:val="auto"/>
              </w:rPr>
            </w:pPr>
          </w:p>
        </w:tc>
        <w:tc>
          <w:tcPr>
            <w:tcW w:w="620" w:type="dxa"/>
            <w:vAlign w:val="bottom"/>
            <w:shd w:val="clear" w:color="auto" w:fill="CCECFF"/>
          </w:tcPr>
          <w:p>
            <w:pPr>
              <w:spacing w:after="0"/>
              <w:rPr>
                <w:sz w:val="20"/>
                <w:szCs w:val="20"/>
                <w:color w:val="auto"/>
              </w:rPr>
            </w:pPr>
          </w:p>
        </w:tc>
        <w:tc>
          <w:tcPr>
            <w:tcW w:w="8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2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835</w:t>
            </w:r>
          </w:p>
        </w:tc>
        <w:tc>
          <w:tcPr>
            <w:tcW w:w="500" w:type="dxa"/>
            <w:vAlign w:val="bottom"/>
            <w:gridSpan w:val="2"/>
            <w:vMerge w:val="continue"/>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(8,866)</w:t>
            </w:r>
          </w:p>
        </w:tc>
        <w:tc>
          <w:tcPr>
            <w:tcW w:w="44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and</w:t>
            </w:r>
          </w:p>
        </w:tc>
        <w:tc>
          <w:tcPr>
            <w:tcW w:w="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4(a)</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340" w:type="dxa"/>
            <w:vAlign w:val="bottom"/>
          </w:tcPr>
          <w:p>
            <w:pPr>
              <w:spacing w:after="0"/>
              <w:rPr>
                <w:sz w:val="20"/>
                <w:szCs w:val="20"/>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1,921</w:t>
            </w:r>
          </w:p>
        </w:tc>
        <w:tc>
          <w:tcPr>
            <w:tcW w:w="32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(1,921)</w:t>
            </w:r>
          </w:p>
        </w:tc>
        <w:tc>
          <w:tcPr>
            <w:tcW w:w="50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00" w:type="dxa"/>
            <w:vAlign w:val="bottom"/>
            <w:shd w:val="clear" w:color="auto" w:fill="CCECFF"/>
          </w:tcPr>
          <w:p>
            <w:pPr>
              <w:spacing w:after="0" w:line="198" w:lineRule="exact"/>
              <w:rPr>
                <w:sz w:val="20"/>
                <w:szCs w:val="20"/>
                <w:color w:val="auto"/>
              </w:rPr>
            </w:pPr>
            <w:r>
              <w:rPr>
                <w:rFonts w:ascii="Times New Roman" w:cs="Times New Roman" w:eastAsia="Times New Roman" w:hAnsi="Times New Roman"/>
                <w:sz w:val="18"/>
                <w:szCs w:val="18"/>
                <w:color w:val="auto"/>
              </w:rPr>
              <w:t>Loss on</w:t>
            </w:r>
          </w:p>
        </w:tc>
        <w:tc>
          <w:tcPr>
            <w:tcW w:w="340" w:type="dxa"/>
            <w:vAlign w:val="bottom"/>
            <w:shd w:val="clear" w:color="auto" w:fill="CCECFF"/>
          </w:tcPr>
          <w:p>
            <w:pPr>
              <w:spacing w:after="0"/>
              <w:rPr>
                <w:sz w:val="17"/>
                <w:szCs w:val="17"/>
                <w:color w:val="auto"/>
              </w:rPr>
            </w:pPr>
          </w:p>
        </w:tc>
        <w:tc>
          <w:tcPr>
            <w:tcW w:w="1520" w:type="dxa"/>
            <w:vAlign w:val="bottom"/>
            <w:shd w:val="clear" w:color="auto" w:fill="CCECFF"/>
          </w:tcPr>
          <w:p>
            <w:pPr>
              <w:spacing w:after="0"/>
              <w:rPr>
                <w:sz w:val="17"/>
                <w:szCs w:val="17"/>
                <w:color w:val="auto"/>
              </w:rPr>
            </w:pPr>
          </w:p>
        </w:tc>
        <w:tc>
          <w:tcPr>
            <w:tcW w:w="4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1280" w:type="dxa"/>
            <w:vAlign w:val="bottom"/>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c>
          <w:tcPr>
            <w:tcW w:w="1200" w:type="dxa"/>
            <w:vAlign w:val="bottom"/>
            <w:shd w:val="clear" w:color="auto" w:fill="CCECFF"/>
          </w:tcPr>
          <w:p>
            <w:pPr>
              <w:spacing w:after="0"/>
              <w:rPr>
                <w:sz w:val="17"/>
                <w:szCs w:val="17"/>
                <w:color w:val="auto"/>
              </w:rPr>
            </w:pPr>
          </w:p>
        </w:tc>
        <w:tc>
          <w:tcPr>
            <w:tcW w:w="48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62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180" w:type="dxa"/>
            <w:vAlign w:val="bottom"/>
            <w:shd w:val="clear" w:color="auto" w:fill="CCECFF"/>
          </w:tcPr>
          <w:p>
            <w:pPr>
              <w:spacing w:after="0"/>
              <w:rPr>
                <w:sz w:val="17"/>
                <w:szCs w:val="17"/>
                <w:color w:val="auto"/>
              </w:rPr>
            </w:pPr>
          </w:p>
        </w:tc>
        <w:tc>
          <w:tcPr>
            <w:tcW w:w="20" w:type="dxa"/>
            <w:vAlign w:val="bottom"/>
            <w:shd w:val="clear" w:color="auto" w:fill="CCECFF"/>
          </w:tcPr>
          <w:p>
            <w:pPr>
              <w:spacing w:after="0"/>
              <w:rPr>
                <w:sz w:val="17"/>
                <w:szCs w:val="17"/>
                <w:color w:val="auto"/>
              </w:rPr>
            </w:pPr>
          </w:p>
        </w:tc>
        <w:tc>
          <w:tcPr>
            <w:tcW w:w="440" w:type="dxa"/>
            <w:vAlign w:val="bottom"/>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280" w:type="dxa"/>
            <w:vAlign w:val="bottom"/>
            <w:shd w:val="clear" w:color="auto" w:fill="CCECFF"/>
          </w:tcPr>
          <w:p>
            <w:pPr>
              <w:spacing w:after="0"/>
              <w:rPr>
                <w:sz w:val="17"/>
                <w:szCs w:val="17"/>
                <w:color w:val="auto"/>
              </w:rPr>
            </w:pPr>
          </w:p>
        </w:tc>
        <w:tc>
          <w:tcPr>
            <w:tcW w:w="44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extinguishment</w:t>
            </w:r>
          </w:p>
        </w:tc>
        <w:tc>
          <w:tcPr>
            <w:tcW w:w="340" w:type="dxa"/>
            <w:vAlign w:val="bottom"/>
            <w:shd w:val="clear" w:color="auto" w:fill="CCECFF"/>
          </w:tcPr>
          <w:p>
            <w:pPr>
              <w:spacing w:after="0"/>
              <w:rPr>
                <w:sz w:val="18"/>
                <w:szCs w:val="18"/>
                <w:color w:val="auto"/>
              </w:rPr>
            </w:pPr>
          </w:p>
        </w:tc>
        <w:tc>
          <w:tcPr>
            <w:tcW w:w="152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128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62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18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500" w:type="dxa"/>
            <w:vAlign w:val="bottom"/>
            <w:gridSpan w:val="2"/>
            <w:vMerge w:val="restart"/>
            <w:shd w:val="clear" w:color="auto" w:fill="CCECFF"/>
          </w:tcPr>
          <w:p>
            <w:pPr>
              <w:ind w:left="40"/>
              <w:spacing w:after="0"/>
              <w:rPr>
                <w:sz w:val="20"/>
                <w:szCs w:val="20"/>
                <w:color w:val="auto"/>
              </w:rPr>
            </w:pPr>
            <w:r>
              <w:rPr>
                <w:rFonts w:ascii="Times New Roman" w:cs="Times New Roman" w:eastAsia="Times New Roman" w:hAnsi="Times New Roman"/>
                <w:sz w:val="18"/>
                <w:szCs w:val="18"/>
                <w:b w:val="1"/>
                <w:bCs w:val="1"/>
                <w:color w:val="auto"/>
              </w:rPr>
              <w:t>4(e)</w:t>
            </w:r>
          </w:p>
        </w:tc>
        <w:tc>
          <w:tcPr>
            <w:tcW w:w="280" w:type="dxa"/>
            <w:vAlign w:val="bottom"/>
            <w:shd w:val="clear" w:color="auto" w:fill="CCECFF"/>
          </w:tcPr>
          <w:p>
            <w:pPr>
              <w:spacing w:after="0"/>
              <w:rPr>
                <w:sz w:val="18"/>
                <w:szCs w:val="18"/>
                <w:color w:val="auto"/>
              </w:rPr>
            </w:pPr>
          </w:p>
        </w:tc>
        <w:tc>
          <w:tcPr>
            <w:tcW w:w="128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of debt</w:t>
            </w:r>
          </w:p>
        </w:tc>
        <w:tc>
          <w:tcPr>
            <w:tcW w:w="340" w:type="dxa"/>
            <w:vAlign w:val="bottom"/>
            <w:shd w:val="clear" w:color="auto" w:fill="CCECFF"/>
          </w:tcPr>
          <w:p>
            <w:pPr>
              <w:spacing w:after="0"/>
              <w:rPr>
                <w:sz w:val="20"/>
                <w:szCs w:val="20"/>
                <w:color w:val="auto"/>
              </w:rPr>
            </w:pPr>
          </w:p>
        </w:tc>
        <w:tc>
          <w:tcPr>
            <w:tcW w:w="152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128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CFF"/>
          </w:tcPr>
          <w:p>
            <w:pPr>
              <w:spacing w:after="0"/>
              <w:rPr>
                <w:sz w:val="20"/>
                <w:szCs w:val="20"/>
                <w:color w:val="auto"/>
              </w:rPr>
            </w:pPr>
          </w:p>
        </w:tc>
        <w:tc>
          <w:tcPr>
            <w:tcW w:w="1200" w:type="dxa"/>
            <w:vAlign w:val="bottom"/>
            <w:shd w:val="clear" w:color="auto" w:fill="CCECFF"/>
          </w:tcPr>
          <w:p>
            <w:pPr>
              <w:spacing w:after="0"/>
              <w:rPr>
                <w:sz w:val="20"/>
                <w:szCs w:val="20"/>
                <w:color w:val="auto"/>
              </w:rPr>
            </w:pPr>
          </w:p>
        </w:tc>
        <w:tc>
          <w:tcPr>
            <w:tcW w:w="48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CFF"/>
          </w:tcPr>
          <w:p>
            <w:pPr>
              <w:spacing w:after="0"/>
              <w:rPr>
                <w:sz w:val="20"/>
                <w:szCs w:val="20"/>
                <w:color w:val="auto"/>
              </w:rPr>
            </w:pPr>
          </w:p>
        </w:tc>
        <w:tc>
          <w:tcPr>
            <w:tcW w:w="620" w:type="dxa"/>
            <w:vAlign w:val="bottom"/>
            <w:shd w:val="clear" w:color="auto" w:fill="CCECFF"/>
          </w:tcPr>
          <w:p>
            <w:pPr>
              <w:spacing w:after="0"/>
              <w:rPr>
                <w:sz w:val="20"/>
                <w:szCs w:val="20"/>
                <w:color w:val="auto"/>
              </w:rPr>
            </w:pPr>
          </w:p>
        </w:tc>
        <w:tc>
          <w:tcPr>
            <w:tcW w:w="8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2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500" w:type="dxa"/>
            <w:vAlign w:val="bottom"/>
            <w:gridSpan w:val="2"/>
            <w:vMerge w:val="continue"/>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4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expense,</w:t>
            </w:r>
          </w:p>
        </w:tc>
        <w:tc>
          <w:tcPr>
            <w:tcW w:w="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net</w:t>
            </w:r>
          </w:p>
        </w:tc>
        <w:tc>
          <w:tcPr>
            <w:tcW w:w="340" w:type="dxa"/>
            <w:vAlign w:val="bottom"/>
          </w:tcPr>
          <w:p>
            <w:pPr>
              <w:spacing w:after="0"/>
              <w:rPr>
                <w:sz w:val="20"/>
                <w:szCs w:val="20"/>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(2,906)</w:t>
            </w:r>
          </w:p>
        </w:tc>
        <w:tc>
          <w:tcPr>
            <w:tcW w:w="1200" w:type="dxa"/>
            <w:vAlign w:val="bottom"/>
          </w:tcPr>
          <w:p>
            <w:pPr>
              <w:spacing w:after="0"/>
              <w:rPr>
                <w:sz w:val="20"/>
                <w:szCs w:val="20"/>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300" w:type="dxa"/>
            <w:vAlign w:val="bottom"/>
            <w:tcBorders>
              <w:top w:val="single" w:sz="8" w:color="CCECFF"/>
            </w:tcBorders>
            <w:shd w:val="clear" w:color="auto" w:fill="CCEC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Income (loss)</w:t>
            </w:r>
          </w:p>
        </w:tc>
        <w:tc>
          <w:tcPr>
            <w:tcW w:w="340" w:type="dxa"/>
            <w:vAlign w:val="bottom"/>
            <w:tcBorders>
              <w:top w:val="single" w:sz="8" w:color="auto"/>
            </w:tcBorders>
            <w:shd w:val="clear" w:color="auto" w:fill="CCECFF"/>
          </w:tcPr>
          <w:p>
            <w:pPr>
              <w:spacing w:after="0"/>
              <w:rPr>
                <w:sz w:val="15"/>
                <w:szCs w:val="15"/>
                <w:color w:val="auto"/>
              </w:rPr>
            </w:pPr>
          </w:p>
        </w:tc>
        <w:tc>
          <w:tcPr>
            <w:tcW w:w="1520" w:type="dxa"/>
            <w:vAlign w:val="bottom"/>
            <w:tcBorders>
              <w:top w:val="single" w:sz="8" w:color="auto"/>
            </w:tcBorders>
            <w:shd w:val="clear" w:color="auto" w:fill="CCECFF"/>
          </w:tcPr>
          <w:p>
            <w:pPr>
              <w:spacing w:after="0"/>
              <w:rPr>
                <w:sz w:val="15"/>
                <w:szCs w:val="15"/>
                <w:color w:val="auto"/>
              </w:rPr>
            </w:pPr>
          </w:p>
        </w:tc>
        <w:tc>
          <w:tcPr>
            <w:tcW w:w="40" w:type="dxa"/>
            <w:vAlign w:val="bottom"/>
            <w:tcBorders>
              <w:top w:val="single" w:sz="8" w:color="CCECFF"/>
            </w:tcBorders>
            <w:shd w:val="clear" w:color="auto" w:fill="CCECFF"/>
          </w:tcPr>
          <w:p>
            <w:pPr>
              <w:spacing w:after="0"/>
              <w:rPr>
                <w:sz w:val="15"/>
                <w:szCs w:val="15"/>
                <w:color w:val="auto"/>
              </w:rPr>
            </w:pPr>
          </w:p>
        </w:tc>
        <w:tc>
          <w:tcPr>
            <w:tcW w:w="320" w:type="dxa"/>
            <w:vAlign w:val="bottom"/>
            <w:tcBorders>
              <w:top w:val="single" w:sz="8" w:color="auto"/>
            </w:tcBorders>
            <w:shd w:val="clear" w:color="auto" w:fill="CCECFF"/>
          </w:tcPr>
          <w:p>
            <w:pPr>
              <w:spacing w:after="0"/>
              <w:rPr>
                <w:sz w:val="15"/>
                <w:szCs w:val="15"/>
                <w:color w:val="auto"/>
              </w:rPr>
            </w:pPr>
          </w:p>
        </w:tc>
        <w:tc>
          <w:tcPr>
            <w:tcW w:w="1280" w:type="dxa"/>
            <w:vAlign w:val="bottom"/>
            <w:tcBorders>
              <w:top w:val="single" w:sz="8" w:color="auto"/>
            </w:tcBorders>
            <w:shd w:val="clear" w:color="auto" w:fill="CCECFF"/>
          </w:tcPr>
          <w:p>
            <w:pPr>
              <w:spacing w:after="0"/>
              <w:rPr>
                <w:sz w:val="15"/>
                <w:szCs w:val="15"/>
                <w:color w:val="auto"/>
              </w:rPr>
            </w:pPr>
          </w:p>
        </w:tc>
        <w:tc>
          <w:tcPr>
            <w:tcW w:w="60" w:type="dxa"/>
            <w:vAlign w:val="bottom"/>
            <w:tcBorders>
              <w:top w:val="single" w:sz="8" w:color="CCECFF"/>
            </w:tcBorders>
            <w:shd w:val="clear" w:color="auto" w:fill="CCECFF"/>
          </w:tcPr>
          <w:p>
            <w:pPr>
              <w:spacing w:after="0"/>
              <w:rPr>
                <w:sz w:val="15"/>
                <w:szCs w:val="15"/>
                <w:color w:val="auto"/>
              </w:rPr>
            </w:pPr>
          </w:p>
        </w:tc>
        <w:tc>
          <w:tcPr>
            <w:tcW w:w="1200" w:type="dxa"/>
            <w:vAlign w:val="bottom"/>
            <w:tcBorders>
              <w:top w:val="single" w:sz="8" w:color="auto"/>
            </w:tcBorders>
            <w:shd w:val="clear" w:color="auto" w:fill="CCECFF"/>
          </w:tcPr>
          <w:p>
            <w:pPr>
              <w:spacing w:after="0"/>
              <w:rPr>
                <w:sz w:val="15"/>
                <w:szCs w:val="15"/>
                <w:color w:val="auto"/>
              </w:rPr>
            </w:pPr>
          </w:p>
        </w:tc>
        <w:tc>
          <w:tcPr>
            <w:tcW w:w="480" w:type="dxa"/>
            <w:vAlign w:val="bottom"/>
            <w:tcBorders>
              <w:top w:val="single" w:sz="8" w:color="auto"/>
            </w:tcBorders>
            <w:shd w:val="clear" w:color="auto" w:fill="CCECFF"/>
          </w:tcPr>
          <w:p>
            <w:pPr>
              <w:spacing w:after="0"/>
              <w:rPr>
                <w:sz w:val="15"/>
                <w:szCs w:val="15"/>
                <w:color w:val="auto"/>
              </w:rPr>
            </w:pPr>
          </w:p>
        </w:tc>
        <w:tc>
          <w:tcPr>
            <w:tcW w:w="80" w:type="dxa"/>
            <w:vAlign w:val="bottom"/>
            <w:tcBorders>
              <w:top w:val="single" w:sz="8" w:color="CCECFF"/>
            </w:tcBorders>
            <w:shd w:val="clear" w:color="auto" w:fill="CCECFF"/>
          </w:tcPr>
          <w:p>
            <w:pPr>
              <w:spacing w:after="0"/>
              <w:rPr>
                <w:sz w:val="15"/>
                <w:szCs w:val="15"/>
                <w:color w:val="auto"/>
              </w:rPr>
            </w:pPr>
          </w:p>
        </w:tc>
        <w:tc>
          <w:tcPr>
            <w:tcW w:w="620" w:type="dxa"/>
            <w:vAlign w:val="bottom"/>
            <w:tcBorders>
              <w:top w:val="single" w:sz="8" w:color="CCECFF"/>
            </w:tcBorders>
            <w:shd w:val="clear" w:color="auto" w:fill="CCECFF"/>
          </w:tcPr>
          <w:p>
            <w:pPr>
              <w:spacing w:after="0"/>
              <w:rPr>
                <w:sz w:val="15"/>
                <w:szCs w:val="15"/>
                <w:color w:val="auto"/>
              </w:rPr>
            </w:pPr>
          </w:p>
        </w:tc>
        <w:tc>
          <w:tcPr>
            <w:tcW w:w="80" w:type="dxa"/>
            <w:vAlign w:val="bottom"/>
            <w:tcBorders>
              <w:top w:val="single" w:sz="8" w:color="CCECFF"/>
            </w:tcBorders>
            <w:shd w:val="clear" w:color="auto" w:fill="CCECFF"/>
          </w:tcPr>
          <w:p>
            <w:pPr>
              <w:spacing w:after="0"/>
              <w:rPr>
                <w:sz w:val="15"/>
                <w:szCs w:val="15"/>
                <w:color w:val="auto"/>
              </w:rPr>
            </w:pPr>
          </w:p>
        </w:tc>
        <w:tc>
          <w:tcPr>
            <w:tcW w:w="220" w:type="dxa"/>
            <w:vAlign w:val="bottom"/>
            <w:tcBorders>
              <w:top w:val="single" w:sz="8" w:color="auto"/>
            </w:tcBorders>
            <w:shd w:val="clear" w:color="auto" w:fill="CCECFF"/>
          </w:tcPr>
          <w:p>
            <w:pPr>
              <w:spacing w:after="0"/>
              <w:rPr>
                <w:sz w:val="15"/>
                <w:szCs w:val="15"/>
                <w:color w:val="auto"/>
              </w:rPr>
            </w:pPr>
          </w:p>
        </w:tc>
        <w:tc>
          <w:tcPr>
            <w:tcW w:w="1180" w:type="dxa"/>
            <w:vAlign w:val="bottom"/>
            <w:tcBorders>
              <w:top w:val="single" w:sz="8" w:color="auto"/>
            </w:tcBorders>
            <w:shd w:val="clear" w:color="auto" w:fill="CCECFF"/>
          </w:tcPr>
          <w:p>
            <w:pPr>
              <w:spacing w:after="0"/>
              <w:rPr>
                <w:sz w:val="15"/>
                <w:szCs w:val="15"/>
                <w:color w:val="auto"/>
              </w:rPr>
            </w:pPr>
          </w:p>
        </w:tc>
        <w:tc>
          <w:tcPr>
            <w:tcW w:w="20" w:type="dxa"/>
            <w:vAlign w:val="bottom"/>
            <w:tcBorders>
              <w:top w:val="single" w:sz="8" w:color="CCECFF"/>
            </w:tcBorders>
            <w:shd w:val="clear" w:color="auto" w:fill="CCECFF"/>
          </w:tcPr>
          <w:p>
            <w:pPr>
              <w:spacing w:after="0"/>
              <w:rPr>
                <w:sz w:val="15"/>
                <w:szCs w:val="15"/>
                <w:color w:val="auto"/>
              </w:rPr>
            </w:pPr>
          </w:p>
        </w:tc>
        <w:tc>
          <w:tcPr>
            <w:tcW w:w="440" w:type="dxa"/>
            <w:vAlign w:val="bottom"/>
            <w:tcBorders>
              <w:top w:val="single" w:sz="8" w:color="CCECFF"/>
            </w:tcBorders>
            <w:shd w:val="clear" w:color="auto" w:fill="CCECFF"/>
          </w:tcPr>
          <w:p>
            <w:pPr>
              <w:spacing w:after="0"/>
              <w:rPr>
                <w:sz w:val="15"/>
                <w:szCs w:val="15"/>
                <w:color w:val="auto"/>
              </w:rPr>
            </w:pPr>
          </w:p>
        </w:tc>
        <w:tc>
          <w:tcPr>
            <w:tcW w:w="60" w:type="dxa"/>
            <w:vAlign w:val="bottom"/>
            <w:tcBorders>
              <w:top w:val="single" w:sz="8" w:color="CCECFF"/>
            </w:tcBorders>
            <w:shd w:val="clear" w:color="auto" w:fill="CCECFF"/>
          </w:tcPr>
          <w:p>
            <w:pPr>
              <w:spacing w:after="0"/>
              <w:rPr>
                <w:sz w:val="15"/>
                <w:szCs w:val="15"/>
                <w:color w:val="auto"/>
              </w:rPr>
            </w:pPr>
          </w:p>
        </w:tc>
        <w:tc>
          <w:tcPr>
            <w:tcW w:w="280" w:type="dxa"/>
            <w:vAlign w:val="bottom"/>
            <w:tcBorders>
              <w:top w:val="single" w:sz="8" w:color="auto"/>
            </w:tcBorders>
            <w:shd w:val="clear" w:color="auto" w:fill="CCECFF"/>
          </w:tcPr>
          <w:p>
            <w:pPr>
              <w:spacing w:after="0"/>
              <w:rPr>
                <w:sz w:val="15"/>
                <w:szCs w:val="15"/>
                <w:color w:val="auto"/>
              </w:rPr>
            </w:pPr>
          </w:p>
        </w:tc>
        <w:tc>
          <w:tcPr>
            <w:tcW w:w="1280" w:type="dxa"/>
            <w:vAlign w:val="bottom"/>
            <w:tcBorders>
              <w:top w:val="single" w:sz="8" w:color="auto"/>
            </w:tcBorders>
            <w:shd w:val="clear" w:color="auto" w:fill="CCECFF"/>
          </w:tcPr>
          <w:p>
            <w:pPr>
              <w:spacing w:after="0"/>
              <w:rPr>
                <w:sz w:val="15"/>
                <w:szCs w:val="15"/>
                <w:color w:val="auto"/>
              </w:rPr>
            </w:pPr>
          </w:p>
        </w:tc>
        <w:tc>
          <w:tcPr>
            <w:tcW w:w="440" w:type="dxa"/>
            <w:vAlign w:val="bottom"/>
            <w:tcBorders>
              <w:top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before income</w:t>
            </w:r>
          </w:p>
        </w:tc>
        <w:tc>
          <w:tcPr>
            <w:tcW w:w="340" w:type="dxa"/>
            <w:vAlign w:val="bottom"/>
            <w:shd w:val="clear" w:color="auto" w:fill="CCECFF"/>
          </w:tcPr>
          <w:p>
            <w:pPr>
              <w:spacing w:after="0"/>
              <w:rPr>
                <w:sz w:val="18"/>
                <w:szCs w:val="18"/>
                <w:color w:val="auto"/>
              </w:rPr>
            </w:pPr>
          </w:p>
        </w:tc>
        <w:tc>
          <w:tcPr>
            <w:tcW w:w="152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128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62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18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28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taxes</w:t>
            </w:r>
          </w:p>
        </w:tc>
        <w:tc>
          <w:tcPr>
            <w:tcW w:w="340" w:type="dxa"/>
            <w:vAlign w:val="bottom"/>
            <w:shd w:val="clear" w:color="auto" w:fill="CCECFF"/>
          </w:tcPr>
          <w:p>
            <w:pPr>
              <w:spacing w:after="0"/>
              <w:rPr>
                <w:sz w:val="20"/>
                <w:szCs w:val="20"/>
                <w:color w:val="auto"/>
              </w:rPr>
            </w:pPr>
          </w:p>
        </w:tc>
        <w:tc>
          <w:tcPr>
            <w:tcW w:w="15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(3,390)</w:t>
            </w:r>
          </w:p>
        </w:tc>
        <w:tc>
          <w:tcPr>
            <w:tcW w:w="320" w:type="dxa"/>
            <w:vAlign w:val="bottom"/>
            <w:shd w:val="clear" w:color="auto" w:fill="CCECFF"/>
          </w:tcPr>
          <w:p>
            <w:pPr>
              <w:spacing w:after="0"/>
              <w:rPr>
                <w:sz w:val="20"/>
                <w:szCs w:val="20"/>
                <w:color w:val="auto"/>
              </w:rPr>
            </w:pPr>
          </w:p>
        </w:tc>
        <w:tc>
          <w:tcPr>
            <w:tcW w:w="13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(53,588)</w:t>
            </w:r>
          </w:p>
        </w:tc>
        <w:tc>
          <w:tcPr>
            <w:tcW w:w="1200" w:type="dxa"/>
            <w:vAlign w:val="bottom"/>
            <w:shd w:val="clear" w:color="auto" w:fill="CCECFF"/>
          </w:tcPr>
          <w:p>
            <w:pPr>
              <w:spacing w:after="0"/>
              <w:rPr>
                <w:sz w:val="20"/>
                <w:szCs w:val="20"/>
                <w:color w:val="auto"/>
              </w:rPr>
            </w:pPr>
          </w:p>
        </w:tc>
        <w:tc>
          <w:tcPr>
            <w:tcW w:w="5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8"/>
                <w:szCs w:val="18"/>
                <w:color w:val="auto"/>
              </w:rPr>
              <w:t>(351)</w:t>
            </w:r>
          </w:p>
        </w:tc>
        <w:tc>
          <w:tcPr>
            <w:tcW w:w="620" w:type="dxa"/>
            <w:vAlign w:val="bottom"/>
            <w:shd w:val="clear" w:color="auto" w:fill="CCECFF"/>
          </w:tcPr>
          <w:p>
            <w:pPr>
              <w:spacing w:after="0"/>
              <w:rPr>
                <w:sz w:val="20"/>
                <w:szCs w:val="20"/>
                <w:color w:val="auto"/>
              </w:rPr>
            </w:pPr>
          </w:p>
        </w:tc>
        <w:tc>
          <w:tcPr>
            <w:tcW w:w="8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2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(2,911)</w:t>
            </w:r>
          </w:p>
        </w:tc>
        <w:tc>
          <w:tcPr>
            <w:tcW w:w="440" w:type="dxa"/>
            <w:vAlign w:val="bottom"/>
            <w:shd w:val="clear" w:color="auto" w:fill="CCECFF"/>
          </w:tcPr>
          <w:p>
            <w:pPr>
              <w:spacing w:after="0"/>
              <w:rPr>
                <w:sz w:val="20"/>
                <w:szCs w:val="20"/>
                <w:color w:val="auto"/>
              </w:rPr>
            </w:pPr>
          </w:p>
        </w:tc>
        <w:tc>
          <w:tcPr>
            <w:tcW w:w="6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(60,240)</w:t>
            </w:r>
          </w:p>
        </w:tc>
        <w:tc>
          <w:tcPr>
            <w:tcW w:w="44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 tax</w:t>
            </w:r>
          </w:p>
        </w:tc>
        <w:tc>
          <w:tcPr>
            <w:tcW w:w="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4(g)</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benefit</w:t>
            </w:r>
          </w:p>
        </w:tc>
        <w:tc>
          <w:tcPr>
            <w:tcW w:w="340" w:type="dxa"/>
            <w:vAlign w:val="bottom"/>
          </w:tcPr>
          <w:p>
            <w:pPr>
              <w:spacing w:after="0"/>
              <w:rPr>
                <w:sz w:val="20"/>
                <w:szCs w:val="20"/>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(12,067)</w:t>
            </w:r>
          </w:p>
        </w:tc>
        <w:tc>
          <w:tcPr>
            <w:tcW w:w="1200" w:type="dxa"/>
            <w:vAlign w:val="bottom"/>
          </w:tcPr>
          <w:p>
            <w:pPr>
              <w:spacing w:after="0"/>
              <w:rPr>
                <w:sz w:val="20"/>
                <w:szCs w:val="20"/>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300" w:type="dxa"/>
            <w:vAlign w:val="bottom"/>
            <w:tcBorders>
              <w:top w:val="single" w:sz="8" w:color="CCECFF"/>
            </w:tcBorders>
            <w:shd w:val="clear" w:color="auto" w:fill="CCEC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Borders>
              <w:top w:val="single" w:sz="8" w:color="auto"/>
            </w:tcBorders>
            <w:shd w:val="clear" w:color="auto" w:fill="CCECFF"/>
          </w:tcPr>
          <w:p>
            <w:pPr>
              <w:spacing w:after="0"/>
              <w:rPr>
                <w:sz w:val="15"/>
                <w:szCs w:val="15"/>
                <w:color w:val="auto"/>
              </w:rPr>
            </w:pPr>
          </w:p>
        </w:tc>
        <w:tc>
          <w:tcPr>
            <w:tcW w:w="1520" w:type="dxa"/>
            <w:vAlign w:val="bottom"/>
            <w:tcBorders>
              <w:top w:val="single" w:sz="8" w:color="auto"/>
            </w:tcBorders>
            <w:shd w:val="clear" w:color="auto" w:fill="CCECFF"/>
          </w:tcPr>
          <w:p>
            <w:pPr>
              <w:spacing w:after="0"/>
              <w:rPr>
                <w:sz w:val="15"/>
                <w:szCs w:val="15"/>
                <w:color w:val="auto"/>
              </w:rPr>
            </w:pPr>
          </w:p>
        </w:tc>
        <w:tc>
          <w:tcPr>
            <w:tcW w:w="40" w:type="dxa"/>
            <w:vAlign w:val="bottom"/>
            <w:tcBorders>
              <w:top w:val="single" w:sz="8" w:color="CCECFF"/>
            </w:tcBorders>
            <w:shd w:val="clear" w:color="auto" w:fill="CCECFF"/>
          </w:tcPr>
          <w:p>
            <w:pPr>
              <w:spacing w:after="0"/>
              <w:rPr>
                <w:sz w:val="15"/>
                <w:szCs w:val="15"/>
                <w:color w:val="auto"/>
              </w:rPr>
            </w:pPr>
          </w:p>
        </w:tc>
        <w:tc>
          <w:tcPr>
            <w:tcW w:w="320" w:type="dxa"/>
            <w:vAlign w:val="bottom"/>
            <w:tcBorders>
              <w:top w:val="single" w:sz="8" w:color="auto"/>
            </w:tcBorders>
            <w:shd w:val="clear" w:color="auto" w:fill="CCECFF"/>
          </w:tcPr>
          <w:p>
            <w:pPr>
              <w:spacing w:after="0"/>
              <w:rPr>
                <w:sz w:val="15"/>
                <w:szCs w:val="15"/>
                <w:color w:val="auto"/>
              </w:rPr>
            </w:pPr>
          </w:p>
        </w:tc>
        <w:tc>
          <w:tcPr>
            <w:tcW w:w="1280" w:type="dxa"/>
            <w:vAlign w:val="bottom"/>
            <w:tcBorders>
              <w:top w:val="single" w:sz="8" w:color="auto"/>
            </w:tcBorders>
            <w:shd w:val="clear" w:color="auto" w:fill="CCECFF"/>
          </w:tcPr>
          <w:p>
            <w:pPr>
              <w:spacing w:after="0"/>
              <w:rPr>
                <w:sz w:val="15"/>
                <w:szCs w:val="15"/>
                <w:color w:val="auto"/>
              </w:rPr>
            </w:pPr>
          </w:p>
        </w:tc>
        <w:tc>
          <w:tcPr>
            <w:tcW w:w="60" w:type="dxa"/>
            <w:vAlign w:val="bottom"/>
            <w:tcBorders>
              <w:top w:val="single" w:sz="8" w:color="CCECFF"/>
            </w:tcBorders>
            <w:shd w:val="clear" w:color="auto" w:fill="CCECFF"/>
          </w:tcPr>
          <w:p>
            <w:pPr>
              <w:spacing w:after="0"/>
              <w:rPr>
                <w:sz w:val="15"/>
                <w:szCs w:val="15"/>
                <w:color w:val="auto"/>
              </w:rPr>
            </w:pPr>
          </w:p>
        </w:tc>
        <w:tc>
          <w:tcPr>
            <w:tcW w:w="1200" w:type="dxa"/>
            <w:vAlign w:val="bottom"/>
            <w:tcBorders>
              <w:top w:val="single" w:sz="8" w:color="auto"/>
            </w:tcBorders>
            <w:shd w:val="clear" w:color="auto" w:fill="CCECFF"/>
          </w:tcPr>
          <w:p>
            <w:pPr>
              <w:spacing w:after="0"/>
              <w:rPr>
                <w:sz w:val="15"/>
                <w:szCs w:val="15"/>
                <w:color w:val="auto"/>
              </w:rPr>
            </w:pPr>
          </w:p>
        </w:tc>
        <w:tc>
          <w:tcPr>
            <w:tcW w:w="480" w:type="dxa"/>
            <w:vAlign w:val="bottom"/>
            <w:tcBorders>
              <w:top w:val="single" w:sz="8" w:color="auto"/>
            </w:tcBorders>
            <w:shd w:val="clear" w:color="auto" w:fill="CCECFF"/>
          </w:tcPr>
          <w:p>
            <w:pPr>
              <w:spacing w:after="0"/>
              <w:rPr>
                <w:sz w:val="15"/>
                <w:szCs w:val="15"/>
                <w:color w:val="auto"/>
              </w:rPr>
            </w:pPr>
          </w:p>
        </w:tc>
        <w:tc>
          <w:tcPr>
            <w:tcW w:w="80" w:type="dxa"/>
            <w:vAlign w:val="bottom"/>
            <w:tcBorders>
              <w:top w:val="single" w:sz="8" w:color="CCECFF"/>
            </w:tcBorders>
            <w:shd w:val="clear" w:color="auto" w:fill="CCECFF"/>
          </w:tcPr>
          <w:p>
            <w:pPr>
              <w:spacing w:after="0"/>
              <w:rPr>
                <w:sz w:val="15"/>
                <w:szCs w:val="15"/>
                <w:color w:val="auto"/>
              </w:rPr>
            </w:pPr>
          </w:p>
        </w:tc>
        <w:tc>
          <w:tcPr>
            <w:tcW w:w="620" w:type="dxa"/>
            <w:vAlign w:val="bottom"/>
            <w:tcBorders>
              <w:top w:val="single" w:sz="8" w:color="CCECFF"/>
            </w:tcBorders>
            <w:shd w:val="clear" w:color="auto" w:fill="CCECFF"/>
          </w:tcPr>
          <w:p>
            <w:pPr>
              <w:spacing w:after="0"/>
              <w:rPr>
                <w:sz w:val="15"/>
                <w:szCs w:val="15"/>
                <w:color w:val="auto"/>
              </w:rPr>
            </w:pPr>
          </w:p>
        </w:tc>
        <w:tc>
          <w:tcPr>
            <w:tcW w:w="80" w:type="dxa"/>
            <w:vAlign w:val="bottom"/>
            <w:tcBorders>
              <w:top w:val="single" w:sz="8" w:color="CCECFF"/>
            </w:tcBorders>
            <w:shd w:val="clear" w:color="auto" w:fill="CCECFF"/>
          </w:tcPr>
          <w:p>
            <w:pPr>
              <w:spacing w:after="0"/>
              <w:rPr>
                <w:sz w:val="15"/>
                <w:szCs w:val="15"/>
                <w:color w:val="auto"/>
              </w:rPr>
            </w:pPr>
          </w:p>
        </w:tc>
        <w:tc>
          <w:tcPr>
            <w:tcW w:w="220" w:type="dxa"/>
            <w:vAlign w:val="bottom"/>
            <w:tcBorders>
              <w:top w:val="single" w:sz="8" w:color="auto"/>
            </w:tcBorders>
            <w:shd w:val="clear" w:color="auto" w:fill="CCECFF"/>
          </w:tcPr>
          <w:p>
            <w:pPr>
              <w:spacing w:after="0"/>
              <w:rPr>
                <w:sz w:val="15"/>
                <w:szCs w:val="15"/>
                <w:color w:val="auto"/>
              </w:rPr>
            </w:pPr>
          </w:p>
        </w:tc>
        <w:tc>
          <w:tcPr>
            <w:tcW w:w="1180" w:type="dxa"/>
            <w:vAlign w:val="bottom"/>
            <w:tcBorders>
              <w:top w:val="single" w:sz="8" w:color="auto"/>
            </w:tcBorders>
            <w:shd w:val="clear" w:color="auto" w:fill="CCECFF"/>
          </w:tcPr>
          <w:p>
            <w:pPr>
              <w:spacing w:after="0"/>
              <w:rPr>
                <w:sz w:val="15"/>
                <w:szCs w:val="15"/>
                <w:color w:val="auto"/>
              </w:rPr>
            </w:pPr>
          </w:p>
        </w:tc>
        <w:tc>
          <w:tcPr>
            <w:tcW w:w="20" w:type="dxa"/>
            <w:vAlign w:val="bottom"/>
            <w:tcBorders>
              <w:top w:val="single" w:sz="8" w:color="CCECFF"/>
            </w:tcBorders>
            <w:shd w:val="clear" w:color="auto" w:fill="CCECFF"/>
          </w:tcPr>
          <w:p>
            <w:pPr>
              <w:spacing w:after="0"/>
              <w:rPr>
                <w:sz w:val="15"/>
                <w:szCs w:val="15"/>
                <w:color w:val="auto"/>
              </w:rPr>
            </w:pPr>
          </w:p>
        </w:tc>
        <w:tc>
          <w:tcPr>
            <w:tcW w:w="440" w:type="dxa"/>
            <w:vAlign w:val="bottom"/>
            <w:tcBorders>
              <w:top w:val="single" w:sz="8" w:color="CCECFF"/>
            </w:tcBorders>
            <w:shd w:val="clear" w:color="auto" w:fill="CCECFF"/>
          </w:tcPr>
          <w:p>
            <w:pPr>
              <w:spacing w:after="0"/>
              <w:rPr>
                <w:sz w:val="15"/>
                <w:szCs w:val="15"/>
                <w:color w:val="auto"/>
              </w:rPr>
            </w:pPr>
          </w:p>
        </w:tc>
        <w:tc>
          <w:tcPr>
            <w:tcW w:w="60" w:type="dxa"/>
            <w:vAlign w:val="bottom"/>
            <w:tcBorders>
              <w:top w:val="single" w:sz="8" w:color="CCECFF"/>
            </w:tcBorders>
            <w:shd w:val="clear" w:color="auto" w:fill="CCECFF"/>
          </w:tcPr>
          <w:p>
            <w:pPr>
              <w:spacing w:after="0"/>
              <w:rPr>
                <w:sz w:val="15"/>
                <w:szCs w:val="15"/>
                <w:color w:val="auto"/>
              </w:rPr>
            </w:pPr>
          </w:p>
        </w:tc>
        <w:tc>
          <w:tcPr>
            <w:tcW w:w="280" w:type="dxa"/>
            <w:vAlign w:val="bottom"/>
            <w:tcBorders>
              <w:top w:val="single" w:sz="8" w:color="auto"/>
            </w:tcBorders>
            <w:shd w:val="clear" w:color="auto" w:fill="CCECFF"/>
          </w:tcPr>
          <w:p>
            <w:pPr>
              <w:spacing w:after="0"/>
              <w:rPr>
                <w:sz w:val="15"/>
                <w:szCs w:val="15"/>
                <w:color w:val="auto"/>
              </w:rPr>
            </w:pPr>
          </w:p>
        </w:tc>
        <w:tc>
          <w:tcPr>
            <w:tcW w:w="1280" w:type="dxa"/>
            <w:vAlign w:val="bottom"/>
            <w:tcBorders>
              <w:top w:val="single" w:sz="8" w:color="auto"/>
            </w:tcBorders>
            <w:shd w:val="clear" w:color="auto" w:fill="CCECFF"/>
          </w:tcPr>
          <w:p>
            <w:pPr>
              <w:spacing w:after="0"/>
              <w:rPr>
                <w:sz w:val="15"/>
                <w:szCs w:val="15"/>
                <w:color w:val="auto"/>
              </w:rPr>
            </w:pPr>
          </w:p>
        </w:tc>
        <w:tc>
          <w:tcPr>
            <w:tcW w:w="440" w:type="dxa"/>
            <w:vAlign w:val="bottom"/>
            <w:tcBorders>
              <w:top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3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(loss)</w:t>
            </w:r>
          </w:p>
        </w:tc>
        <w:tc>
          <w:tcPr>
            <w:tcW w:w="340" w:type="dxa"/>
            <w:vAlign w:val="bottom"/>
            <w:shd w:val="clear" w:color="auto" w:fill="CCECFF"/>
          </w:tcPr>
          <w:p>
            <w:pPr>
              <w:spacing w:after="0"/>
              <w:rPr>
                <w:sz w:val="20"/>
                <w:szCs w:val="20"/>
                <w:color w:val="auto"/>
              </w:rPr>
            </w:pPr>
          </w:p>
        </w:tc>
        <w:tc>
          <w:tcPr>
            <w:tcW w:w="15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(3,409)</w:t>
            </w:r>
          </w:p>
        </w:tc>
        <w:tc>
          <w:tcPr>
            <w:tcW w:w="320" w:type="dxa"/>
            <w:vAlign w:val="bottom"/>
            <w:shd w:val="clear" w:color="auto" w:fill="CCECFF"/>
          </w:tcPr>
          <w:p>
            <w:pPr>
              <w:spacing w:after="0"/>
              <w:rPr>
                <w:sz w:val="20"/>
                <w:szCs w:val="20"/>
                <w:color w:val="auto"/>
              </w:rPr>
            </w:pPr>
          </w:p>
        </w:tc>
        <w:tc>
          <w:tcPr>
            <w:tcW w:w="13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(65,655)</w:t>
            </w:r>
          </w:p>
        </w:tc>
        <w:tc>
          <w:tcPr>
            <w:tcW w:w="1200" w:type="dxa"/>
            <w:vAlign w:val="bottom"/>
            <w:shd w:val="clear" w:color="auto" w:fill="CCECFF"/>
          </w:tcPr>
          <w:p>
            <w:pPr>
              <w:spacing w:after="0"/>
              <w:rPr>
                <w:sz w:val="20"/>
                <w:szCs w:val="20"/>
                <w:color w:val="auto"/>
              </w:rPr>
            </w:pPr>
          </w:p>
        </w:tc>
        <w:tc>
          <w:tcPr>
            <w:tcW w:w="5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8"/>
                <w:szCs w:val="18"/>
                <w:color w:val="auto"/>
              </w:rPr>
              <w:t>(351)</w:t>
            </w:r>
          </w:p>
        </w:tc>
        <w:tc>
          <w:tcPr>
            <w:tcW w:w="620" w:type="dxa"/>
            <w:vAlign w:val="bottom"/>
            <w:shd w:val="clear" w:color="auto" w:fill="CCECFF"/>
          </w:tcPr>
          <w:p>
            <w:pPr>
              <w:spacing w:after="0"/>
              <w:rPr>
                <w:sz w:val="20"/>
                <w:szCs w:val="20"/>
                <w:color w:val="auto"/>
              </w:rPr>
            </w:pPr>
          </w:p>
        </w:tc>
        <w:tc>
          <w:tcPr>
            <w:tcW w:w="8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2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(2,901)</w:t>
            </w:r>
          </w:p>
        </w:tc>
        <w:tc>
          <w:tcPr>
            <w:tcW w:w="440" w:type="dxa"/>
            <w:vAlign w:val="bottom"/>
            <w:shd w:val="clear" w:color="auto" w:fill="CCECFF"/>
          </w:tcPr>
          <w:p>
            <w:pPr>
              <w:spacing w:after="0"/>
              <w:rPr>
                <w:sz w:val="20"/>
                <w:szCs w:val="20"/>
                <w:color w:val="auto"/>
              </w:rPr>
            </w:pPr>
          </w:p>
        </w:tc>
        <w:tc>
          <w:tcPr>
            <w:tcW w:w="6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(72,316)</w:t>
            </w:r>
          </w:p>
        </w:tc>
        <w:tc>
          <w:tcPr>
            <w:tcW w:w="44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net loss</w:t>
            </w:r>
          </w:p>
        </w:tc>
        <w:tc>
          <w:tcPr>
            <w:tcW w:w="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attributable to</w:t>
            </w: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w:t>
            </w: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interests</w:t>
            </w:r>
          </w:p>
        </w:tc>
        <w:tc>
          <w:tcPr>
            <w:tcW w:w="340" w:type="dxa"/>
            <w:vAlign w:val="bottom"/>
          </w:tcPr>
          <w:p>
            <w:pPr>
              <w:spacing w:after="0"/>
              <w:rPr>
                <w:sz w:val="20"/>
                <w:szCs w:val="20"/>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w:t>
            </w:r>
          </w:p>
        </w:tc>
        <w:tc>
          <w:tcPr>
            <w:tcW w:w="1200" w:type="dxa"/>
            <w:vAlign w:val="bottom"/>
          </w:tcPr>
          <w:p>
            <w:pPr>
              <w:spacing w:after="0"/>
              <w:rPr>
                <w:sz w:val="20"/>
                <w:szCs w:val="20"/>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300" w:type="dxa"/>
            <w:vAlign w:val="bottom"/>
            <w:tcBorders>
              <w:top w:val="single" w:sz="8" w:color="CCECFF"/>
            </w:tcBorders>
            <w:shd w:val="clear" w:color="auto" w:fill="CCEC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Borders>
              <w:top w:val="single" w:sz="8" w:color="auto"/>
            </w:tcBorders>
            <w:shd w:val="clear" w:color="auto" w:fill="CCECFF"/>
          </w:tcPr>
          <w:p>
            <w:pPr>
              <w:spacing w:after="0"/>
              <w:rPr>
                <w:sz w:val="15"/>
                <w:szCs w:val="15"/>
                <w:color w:val="auto"/>
              </w:rPr>
            </w:pPr>
          </w:p>
        </w:tc>
        <w:tc>
          <w:tcPr>
            <w:tcW w:w="1520" w:type="dxa"/>
            <w:vAlign w:val="bottom"/>
            <w:tcBorders>
              <w:top w:val="single" w:sz="8" w:color="auto"/>
            </w:tcBorders>
            <w:shd w:val="clear" w:color="auto" w:fill="CCECFF"/>
          </w:tcPr>
          <w:p>
            <w:pPr>
              <w:spacing w:after="0"/>
              <w:rPr>
                <w:sz w:val="15"/>
                <w:szCs w:val="15"/>
                <w:color w:val="auto"/>
              </w:rPr>
            </w:pPr>
          </w:p>
        </w:tc>
        <w:tc>
          <w:tcPr>
            <w:tcW w:w="40" w:type="dxa"/>
            <w:vAlign w:val="bottom"/>
            <w:tcBorders>
              <w:top w:val="single" w:sz="8" w:color="CCECFF"/>
            </w:tcBorders>
            <w:shd w:val="clear" w:color="auto" w:fill="CCECFF"/>
          </w:tcPr>
          <w:p>
            <w:pPr>
              <w:spacing w:after="0"/>
              <w:rPr>
                <w:sz w:val="15"/>
                <w:szCs w:val="15"/>
                <w:color w:val="auto"/>
              </w:rPr>
            </w:pPr>
          </w:p>
        </w:tc>
        <w:tc>
          <w:tcPr>
            <w:tcW w:w="320" w:type="dxa"/>
            <w:vAlign w:val="bottom"/>
            <w:tcBorders>
              <w:top w:val="single" w:sz="8" w:color="auto"/>
            </w:tcBorders>
            <w:shd w:val="clear" w:color="auto" w:fill="CCECFF"/>
          </w:tcPr>
          <w:p>
            <w:pPr>
              <w:spacing w:after="0"/>
              <w:rPr>
                <w:sz w:val="15"/>
                <w:szCs w:val="15"/>
                <w:color w:val="auto"/>
              </w:rPr>
            </w:pPr>
          </w:p>
        </w:tc>
        <w:tc>
          <w:tcPr>
            <w:tcW w:w="1280" w:type="dxa"/>
            <w:vAlign w:val="bottom"/>
            <w:tcBorders>
              <w:top w:val="single" w:sz="8" w:color="auto"/>
            </w:tcBorders>
            <w:shd w:val="clear" w:color="auto" w:fill="CCECFF"/>
          </w:tcPr>
          <w:p>
            <w:pPr>
              <w:spacing w:after="0"/>
              <w:rPr>
                <w:sz w:val="15"/>
                <w:szCs w:val="15"/>
                <w:color w:val="auto"/>
              </w:rPr>
            </w:pPr>
          </w:p>
        </w:tc>
        <w:tc>
          <w:tcPr>
            <w:tcW w:w="60" w:type="dxa"/>
            <w:vAlign w:val="bottom"/>
            <w:tcBorders>
              <w:top w:val="single" w:sz="8" w:color="CCECFF"/>
            </w:tcBorders>
            <w:shd w:val="clear" w:color="auto" w:fill="CCECFF"/>
          </w:tcPr>
          <w:p>
            <w:pPr>
              <w:spacing w:after="0"/>
              <w:rPr>
                <w:sz w:val="15"/>
                <w:szCs w:val="15"/>
                <w:color w:val="auto"/>
              </w:rPr>
            </w:pPr>
          </w:p>
        </w:tc>
        <w:tc>
          <w:tcPr>
            <w:tcW w:w="1200" w:type="dxa"/>
            <w:vAlign w:val="bottom"/>
            <w:tcBorders>
              <w:top w:val="single" w:sz="8" w:color="auto"/>
            </w:tcBorders>
            <w:shd w:val="clear" w:color="auto" w:fill="CCECFF"/>
          </w:tcPr>
          <w:p>
            <w:pPr>
              <w:spacing w:after="0"/>
              <w:rPr>
                <w:sz w:val="15"/>
                <w:szCs w:val="15"/>
                <w:color w:val="auto"/>
              </w:rPr>
            </w:pPr>
          </w:p>
        </w:tc>
        <w:tc>
          <w:tcPr>
            <w:tcW w:w="480" w:type="dxa"/>
            <w:vAlign w:val="bottom"/>
            <w:tcBorders>
              <w:top w:val="single" w:sz="8" w:color="auto"/>
            </w:tcBorders>
            <w:shd w:val="clear" w:color="auto" w:fill="CCECFF"/>
          </w:tcPr>
          <w:p>
            <w:pPr>
              <w:spacing w:after="0"/>
              <w:rPr>
                <w:sz w:val="15"/>
                <w:szCs w:val="15"/>
                <w:color w:val="auto"/>
              </w:rPr>
            </w:pPr>
          </w:p>
        </w:tc>
        <w:tc>
          <w:tcPr>
            <w:tcW w:w="80" w:type="dxa"/>
            <w:vAlign w:val="bottom"/>
            <w:tcBorders>
              <w:top w:val="single" w:sz="8" w:color="CCECFF"/>
            </w:tcBorders>
            <w:shd w:val="clear" w:color="auto" w:fill="CCECFF"/>
          </w:tcPr>
          <w:p>
            <w:pPr>
              <w:spacing w:after="0"/>
              <w:rPr>
                <w:sz w:val="15"/>
                <w:szCs w:val="15"/>
                <w:color w:val="auto"/>
              </w:rPr>
            </w:pPr>
          </w:p>
        </w:tc>
        <w:tc>
          <w:tcPr>
            <w:tcW w:w="620" w:type="dxa"/>
            <w:vAlign w:val="bottom"/>
            <w:tcBorders>
              <w:top w:val="single" w:sz="8" w:color="CCECFF"/>
            </w:tcBorders>
            <w:shd w:val="clear" w:color="auto" w:fill="CCECFF"/>
          </w:tcPr>
          <w:p>
            <w:pPr>
              <w:spacing w:after="0"/>
              <w:rPr>
                <w:sz w:val="15"/>
                <w:szCs w:val="15"/>
                <w:color w:val="auto"/>
              </w:rPr>
            </w:pPr>
          </w:p>
        </w:tc>
        <w:tc>
          <w:tcPr>
            <w:tcW w:w="80" w:type="dxa"/>
            <w:vAlign w:val="bottom"/>
            <w:tcBorders>
              <w:top w:val="single" w:sz="8" w:color="CCECFF"/>
            </w:tcBorders>
            <w:shd w:val="clear" w:color="auto" w:fill="CCECFF"/>
          </w:tcPr>
          <w:p>
            <w:pPr>
              <w:spacing w:after="0"/>
              <w:rPr>
                <w:sz w:val="15"/>
                <w:szCs w:val="15"/>
                <w:color w:val="auto"/>
              </w:rPr>
            </w:pPr>
          </w:p>
        </w:tc>
        <w:tc>
          <w:tcPr>
            <w:tcW w:w="220" w:type="dxa"/>
            <w:vAlign w:val="bottom"/>
            <w:tcBorders>
              <w:top w:val="single" w:sz="8" w:color="auto"/>
            </w:tcBorders>
            <w:shd w:val="clear" w:color="auto" w:fill="CCECFF"/>
          </w:tcPr>
          <w:p>
            <w:pPr>
              <w:spacing w:after="0"/>
              <w:rPr>
                <w:sz w:val="15"/>
                <w:szCs w:val="15"/>
                <w:color w:val="auto"/>
              </w:rPr>
            </w:pPr>
          </w:p>
        </w:tc>
        <w:tc>
          <w:tcPr>
            <w:tcW w:w="1180" w:type="dxa"/>
            <w:vAlign w:val="bottom"/>
            <w:tcBorders>
              <w:top w:val="single" w:sz="8" w:color="auto"/>
            </w:tcBorders>
            <w:shd w:val="clear" w:color="auto" w:fill="CCECFF"/>
          </w:tcPr>
          <w:p>
            <w:pPr>
              <w:spacing w:after="0"/>
              <w:rPr>
                <w:sz w:val="15"/>
                <w:szCs w:val="15"/>
                <w:color w:val="auto"/>
              </w:rPr>
            </w:pPr>
          </w:p>
        </w:tc>
        <w:tc>
          <w:tcPr>
            <w:tcW w:w="20" w:type="dxa"/>
            <w:vAlign w:val="bottom"/>
            <w:tcBorders>
              <w:top w:val="single" w:sz="8" w:color="CCECFF"/>
            </w:tcBorders>
            <w:shd w:val="clear" w:color="auto" w:fill="CCECFF"/>
          </w:tcPr>
          <w:p>
            <w:pPr>
              <w:spacing w:after="0"/>
              <w:rPr>
                <w:sz w:val="15"/>
                <w:szCs w:val="15"/>
                <w:color w:val="auto"/>
              </w:rPr>
            </w:pPr>
          </w:p>
        </w:tc>
        <w:tc>
          <w:tcPr>
            <w:tcW w:w="440" w:type="dxa"/>
            <w:vAlign w:val="bottom"/>
            <w:tcBorders>
              <w:top w:val="single" w:sz="8" w:color="CCECFF"/>
            </w:tcBorders>
            <w:shd w:val="clear" w:color="auto" w:fill="CCECFF"/>
          </w:tcPr>
          <w:p>
            <w:pPr>
              <w:spacing w:after="0"/>
              <w:rPr>
                <w:sz w:val="15"/>
                <w:szCs w:val="15"/>
                <w:color w:val="auto"/>
              </w:rPr>
            </w:pPr>
          </w:p>
        </w:tc>
        <w:tc>
          <w:tcPr>
            <w:tcW w:w="60" w:type="dxa"/>
            <w:vAlign w:val="bottom"/>
            <w:tcBorders>
              <w:top w:val="single" w:sz="8" w:color="CCECFF"/>
            </w:tcBorders>
            <w:shd w:val="clear" w:color="auto" w:fill="CCECFF"/>
          </w:tcPr>
          <w:p>
            <w:pPr>
              <w:spacing w:after="0"/>
              <w:rPr>
                <w:sz w:val="15"/>
                <w:szCs w:val="15"/>
                <w:color w:val="auto"/>
              </w:rPr>
            </w:pPr>
          </w:p>
        </w:tc>
        <w:tc>
          <w:tcPr>
            <w:tcW w:w="280" w:type="dxa"/>
            <w:vAlign w:val="bottom"/>
            <w:tcBorders>
              <w:top w:val="single" w:sz="8" w:color="auto"/>
            </w:tcBorders>
            <w:shd w:val="clear" w:color="auto" w:fill="CCECFF"/>
          </w:tcPr>
          <w:p>
            <w:pPr>
              <w:spacing w:after="0"/>
              <w:rPr>
                <w:sz w:val="15"/>
                <w:szCs w:val="15"/>
                <w:color w:val="auto"/>
              </w:rPr>
            </w:pPr>
          </w:p>
        </w:tc>
        <w:tc>
          <w:tcPr>
            <w:tcW w:w="1280" w:type="dxa"/>
            <w:vAlign w:val="bottom"/>
            <w:tcBorders>
              <w:top w:val="single" w:sz="8" w:color="auto"/>
            </w:tcBorders>
            <w:shd w:val="clear" w:color="auto" w:fill="CCECFF"/>
          </w:tcPr>
          <w:p>
            <w:pPr>
              <w:spacing w:after="0"/>
              <w:rPr>
                <w:sz w:val="15"/>
                <w:szCs w:val="15"/>
                <w:color w:val="auto"/>
              </w:rPr>
            </w:pPr>
          </w:p>
        </w:tc>
        <w:tc>
          <w:tcPr>
            <w:tcW w:w="440" w:type="dxa"/>
            <w:vAlign w:val="bottom"/>
            <w:tcBorders>
              <w:top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(loss)</w:t>
            </w:r>
          </w:p>
        </w:tc>
        <w:tc>
          <w:tcPr>
            <w:tcW w:w="340" w:type="dxa"/>
            <w:vAlign w:val="bottom"/>
            <w:shd w:val="clear" w:color="auto" w:fill="CCECFF"/>
          </w:tcPr>
          <w:p>
            <w:pPr>
              <w:spacing w:after="0"/>
              <w:rPr>
                <w:sz w:val="18"/>
                <w:szCs w:val="18"/>
                <w:color w:val="auto"/>
              </w:rPr>
            </w:pPr>
          </w:p>
        </w:tc>
        <w:tc>
          <w:tcPr>
            <w:tcW w:w="152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128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62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18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28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340" w:type="dxa"/>
            <w:vAlign w:val="bottom"/>
            <w:shd w:val="clear" w:color="auto" w:fill="CCECFF"/>
          </w:tcPr>
          <w:p>
            <w:pPr>
              <w:spacing w:after="0"/>
              <w:rPr>
                <w:sz w:val="18"/>
                <w:szCs w:val="18"/>
                <w:color w:val="auto"/>
              </w:rPr>
            </w:pPr>
          </w:p>
        </w:tc>
        <w:tc>
          <w:tcPr>
            <w:tcW w:w="152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128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62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18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28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340" w:type="dxa"/>
            <w:vAlign w:val="bottom"/>
            <w:vMerge w:val="restart"/>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vMerge w:val="restart"/>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(3,409)</w:t>
            </w:r>
          </w:p>
        </w:tc>
        <w:tc>
          <w:tcPr>
            <w:tcW w:w="320" w:type="dxa"/>
            <w:vAlign w:val="bottom"/>
            <w:vMerge w:val="restart"/>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vMerge w:val="restart"/>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(65,494)</w:t>
            </w:r>
          </w:p>
        </w:tc>
        <w:tc>
          <w:tcPr>
            <w:tcW w:w="1200" w:type="dxa"/>
            <w:vAlign w:val="bottom"/>
            <w:vMerge w:val="restart"/>
            <w:shd w:val="clear" w:color="auto" w:fill="CCEC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vMerge w:val="restart"/>
            <w:shd w:val="clear" w:color="auto" w:fill="CCECFF"/>
          </w:tcPr>
          <w:p>
            <w:pPr>
              <w:jc w:val="right"/>
              <w:ind w:right="80"/>
              <w:spacing w:after="0"/>
              <w:rPr>
                <w:sz w:val="20"/>
                <w:szCs w:val="20"/>
                <w:color w:val="auto"/>
              </w:rPr>
            </w:pPr>
            <w:r>
              <w:rPr>
                <w:rFonts w:ascii="Times New Roman" w:cs="Times New Roman" w:eastAsia="Times New Roman" w:hAnsi="Times New Roman"/>
                <w:sz w:val="18"/>
                <w:szCs w:val="18"/>
                <w:color w:val="auto"/>
              </w:rPr>
              <w:t>(351)</w:t>
            </w:r>
          </w:p>
        </w:tc>
        <w:tc>
          <w:tcPr>
            <w:tcW w:w="62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(2,901)</w:t>
            </w:r>
          </w:p>
        </w:tc>
        <w:tc>
          <w:tcPr>
            <w:tcW w:w="44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2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(72,155)</w:t>
            </w:r>
          </w:p>
        </w:tc>
        <w:tc>
          <w:tcPr>
            <w:tcW w:w="44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3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340" w:type="dxa"/>
            <w:vAlign w:val="bottom"/>
            <w:vMerge w:val="continue"/>
            <w:shd w:val="clear" w:color="auto" w:fill="CCECFF"/>
          </w:tcPr>
          <w:p>
            <w:pPr>
              <w:spacing w:after="0"/>
              <w:rPr>
                <w:sz w:val="21"/>
                <w:szCs w:val="21"/>
                <w:color w:val="auto"/>
              </w:rPr>
            </w:pPr>
          </w:p>
        </w:tc>
        <w:tc>
          <w:tcPr>
            <w:tcW w:w="1560" w:type="dxa"/>
            <w:vAlign w:val="bottom"/>
            <w:gridSpan w:val="2"/>
            <w:vMerge w:val="continue"/>
            <w:shd w:val="clear" w:color="auto" w:fill="CCECFF"/>
          </w:tcPr>
          <w:p>
            <w:pPr>
              <w:spacing w:after="0"/>
              <w:rPr>
                <w:sz w:val="21"/>
                <w:szCs w:val="21"/>
                <w:color w:val="auto"/>
              </w:rPr>
            </w:pPr>
          </w:p>
        </w:tc>
        <w:tc>
          <w:tcPr>
            <w:tcW w:w="320" w:type="dxa"/>
            <w:vAlign w:val="bottom"/>
            <w:vMerge w:val="continue"/>
            <w:shd w:val="clear" w:color="auto" w:fill="CCECFF"/>
          </w:tcPr>
          <w:p>
            <w:pPr>
              <w:spacing w:after="0"/>
              <w:rPr>
                <w:sz w:val="21"/>
                <w:szCs w:val="21"/>
                <w:color w:val="auto"/>
              </w:rPr>
            </w:pPr>
          </w:p>
        </w:tc>
        <w:tc>
          <w:tcPr>
            <w:tcW w:w="1340" w:type="dxa"/>
            <w:vAlign w:val="bottom"/>
            <w:gridSpan w:val="2"/>
            <w:vMerge w:val="continue"/>
            <w:shd w:val="clear" w:color="auto" w:fill="CCECFF"/>
          </w:tcPr>
          <w:p>
            <w:pPr>
              <w:spacing w:after="0"/>
              <w:rPr>
                <w:sz w:val="21"/>
                <w:szCs w:val="21"/>
                <w:color w:val="auto"/>
              </w:rPr>
            </w:pPr>
          </w:p>
        </w:tc>
        <w:tc>
          <w:tcPr>
            <w:tcW w:w="1200" w:type="dxa"/>
            <w:vAlign w:val="bottom"/>
            <w:vMerge w:val="continue"/>
            <w:shd w:val="clear" w:color="auto" w:fill="CCECFF"/>
          </w:tcPr>
          <w:p>
            <w:pPr>
              <w:spacing w:after="0"/>
              <w:rPr>
                <w:sz w:val="21"/>
                <w:szCs w:val="21"/>
                <w:color w:val="auto"/>
              </w:rPr>
            </w:pPr>
          </w:p>
        </w:tc>
        <w:tc>
          <w:tcPr>
            <w:tcW w:w="560" w:type="dxa"/>
            <w:vAlign w:val="bottom"/>
            <w:gridSpan w:val="2"/>
            <w:vMerge w:val="continue"/>
            <w:shd w:val="clear" w:color="auto" w:fill="CCECFF"/>
          </w:tcPr>
          <w:p>
            <w:pPr>
              <w:spacing w:after="0"/>
              <w:rPr>
                <w:sz w:val="21"/>
                <w:szCs w:val="21"/>
                <w:color w:val="auto"/>
              </w:rPr>
            </w:pPr>
          </w:p>
        </w:tc>
        <w:tc>
          <w:tcPr>
            <w:tcW w:w="620" w:type="dxa"/>
            <w:vAlign w:val="bottom"/>
            <w:shd w:val="clear" w:color="auto" w:fill="CCECFF"/>
          </w:tcPr>
          <w:p>
            <w:pPr>
              <w:spacing w:after="0"/>
              <w:rPr>
                <w:sz w:val="21"/>
                <w:szCs w:val="21"/>
                <w:color w:val="auto"/>
              </w:rPr>
            </w:pPr>
          </w:p>
        </w:tc>
        <w:tc>
          <w:tcPr>
            <w:tcW w:w="80" w:type="dxa"/>
            <w:vAlign w:val="bottom"/>
            <w:shd w:val="clear" w:color="auto" w:fill="CCECFF"/>
          </w:tcPr>
          <w:p>
            <w:pPr>
              <w:spacing w:after="0"/>
              <w:rPr>
                <w:sz w:val="21"/>
                <w:szCs w:val="21"/>
                <w:color w:val="auto"/>
              </w:rPr>
            </w:pPr>
          </w:p>
        </w:tc>
        <w:tc>
          <w:tcPr>
            <w:tcW w:w="220" w:type="dxa"/>
            <w:vAlign w:val="bottom"/>
            <w:vMerge w:val="continue"/>
            <w:shd w:val="clear" w:color="auto" w:fill="CCECFF"/>
          </w:tcPr>
          <w:p>
            <w:pPr>
              <w:spacing w:after="0"/>
              <w:rPr>
                <w:sz w:val="21"/>
                <w:szCs w:val="21"/>
                <w:color w:val="auto"/>
              </w:rPr>
            </w:pPr>
          </w:p>
        </w:tc>
        <w:tc>
          <w:tcPr>
            <w:tcW w:w="1200" w:type="dxa"/>
            <w:vAlign w:val="bottom"/>
            <w:gridSpan w:val="2"/>
            <w:vMerge w:val="continue"/>
            <w:shd w:val="clear" w:color="auto" w:fill="CCECFF"/>
          </w:tcPr>
          <w:p>
            <w:pPr>
              <w:spacing w:after="0"/>
              <w:rPr>
                <w:sz w:val="21"/>
                <w:szCs w:val="21"/>
                <w:color w:val="auto"/>
              </w:rPr>
            </w:pPr>
          </w:p>
        </w:tc>
        <w:tc>
          <w:tcPr>
            <w:tcW w:w="440" w:type="dxa"/>
            <w:vAlign w:val="bottom"/>
            <w:shd w:val="clear" w:color="auto" w:fill="CCECFF"/>
          </w:tcPr>
          <w:p>
            <w:pPr>
              <w:spacing w:after="0"/>
              <w:rPr>
                <w:sz w:val="21"/>
                <w:szCs w:val="21"/>
                <w:color w:val="auto"/>
              </w:rPr>
            </w:pPr>
          </w:p>
        </w:tc>
        <w:tc>
          <w:tcPr>
            <w:tcW w:w="60" w:type="dxa"/>
            <w:vAlign w:val="bottom"/>
            <w:shd w:val="clear" w:color="auto" w:fill="CCECFF"/>
          </w:tcPr>
          <w:p>
            <w:pPr>
              <w:spacing w:after="0"/>
              <w:rPr>
                <w:sz w:val="21"/>
                <w:szCs w:val="21"/>
                <w:color w:val="auto"/>
              </w:rPr>
            </w:pPr>
          </w:p>
        </w:tc>
        <w:tc>
          <w:tcPr>
            <w:tcW w:w="280" w:type="dxa"/>
            <w:vAlign w:val="bottom"/>
            <w:vMerge w:val="continue"/>
            <w:shd w:val="clear" w:color="auto" w:fill="CCECFF"/>
          </w:tcPr>
          <w:p>
            <w:pPr>
              <w:spacing w:after="0"/>
              <w:rPr>
                <w:sz w:val="21"/>
                <w:szCs w:val="21"/>
                <w:color w:val="auto"/>
              </w:rPr>
            </w:pPr>
          </w:p>
        </w:tc>
        <w:tc>
          <w:tcPr>
            <w:tcW w:w="1280" w:type="dxa"/>
            <w:vAlign w:val="bottom"/>
            <w:vMerge w:val="continue"/>
            <w:shd w:val="clear" w:color="auto" w:fill="CCECFF"/>
          </w:tcPr>
          <w:p>
            <w:pPr>
              <w:spacing w:after="0"/>
              <w:rPr>
                <w:sz w:val="21"/>
                <w:szCs w:val="21"/>
                <w:color w:val="auto"/>
              </w:rPr>
            </w:pPr>
          </w:p>
        </w:tc>
        <w:tc>
          <w:tcPr>
            <w:tcW w:w="44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1300" w:type="dxa"/>
            <w:vAlign w:val="bottom"/>
            <w:tcBorders>
              <w:top w:val="single" w:sz="8" w:color="CCECFF"/>
            </w:tcBorders>
          </w:tcPr>
          <w:p>
            <w:pPr>
              <w:spacing w:after="0" w:line="171" w:lineRule="exact"/>
              <w:rPr>
                <w:sz w:val="20"/>
                <w:szCs w:val="20"/>
                <w:color w:val="auto"/>
              </w:rPr>
            </w:pPr>
            <w:r>
              <w:rPr>
                <w:rFonts w:ascii="Times New Roman" w:cs="Times New Roman" w:eastAsia="Times New Roman" w:hAnsi="Times New Roman"/>
                <w:sz w:val="18"/>
                <w:szCs w:val="18"/>
                <w:color w:val="auto"/>
              </w:rPr>
              <w:t>Dividends on</w:t>
            </w:r>
          </w:p>
        </w:tc>
        <w:tc>
          <w:tcPr>
            <w:tcW w:w="3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40" w:type="dxa"/>
            <w:vAlign w:val="bottom"/>
            <w:tcBorders>
              <w:top w:val="single" w:sz="8" w:color="CCEC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60" w:type="dxa"/>
            <w:vAlign w:val="bottom"/>
            <w:tcBorders>
              <w:top w:val="single" w:sz="8" w:color="CCECFF"/>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0" w:type="dxa"/>
            <w:vAlign w:val="bottom"/>
            <w:tcBorders>
              <w:top w:val="single" w:sz="8" w:color="CCECFF"/>
            </w:tcBorders>
          </w:tcPr>
          <w:p>
            <w:pPr>
              <w:spacing w:after="0"/>
              <w:rPr>
                <w:sz w:val="14"/>
                <w:szCs w:val="14"/>
                <w:color w:val="auto"/>
              </w:rPr>
            </w:pPr>
          </w:p>
        </w:tc>
        <w:tc>
          <w:tcPr>
            <w:tcW w:w="620" w:type="dxa"/>
            <w:vAlign w:val="bottom"/>
            <w:tcBorders>
              <w:top w:val="single" w:sz="8" w:color="CCECFF"/>
            </w:tcBorders>
          </w:tcPr>
          <w:p>
            <w:pPr>
              <w:spacing w:after="0"/>
              <w:rPr>
                <w:sz w:val="14"/>
                <w:szCs w:val="14"/>
                <w:color w:val="auto"/>
              </w:rPr>
            </w:pPr>
          </w:p>
        </w:tc>
        <w:tc>
          <w:tcPr>
            <w:tcW w:w="80" w:type="dxa"/>
            <w:vAlign w:val="bottom"/>
            <w:tcBorders>
              <w:top w:val="single" w:sz="8" w:color="CCEC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 w:type="dxa"/>
            <w:vAlign w:val="bottom"/>
            <w:tcBorders>
              <w:top w:val="single" w:sz="8" w:color="CCECFF"/>
            </w:tcBorders>
          </w:tcPr>
          <w:p>
            <w:pPr>
              <w:spacing w:after="0"/>
              <w:rPr>
                <w:sz w:val="14"/>
                <w:szCs w:val="14"/>
                <w:color w:val="auto"/>
              </w:rPr>
            </w:pPr>
          </w:p>
        </w:tc>
        <w:tc>
          <w:tcPr>
            <w:tcW w:w="440" w:type="dxa"/>
            <w:vAlign w:val="bottom"/>
            <w:tcBorders>
              <w:top w:val="single" w:sz="8" w:color="CCECFF"/>
            </w:tcBorders>
          </w:tcPr>
          <w:p>
            <w:pPr>
              <w:spacing w:after="0"/>
              <w:rPr>
                <w:sz w:val="14"/>
                <w:szCs w:val="14"/>
                <w:color w:val="auto"/>
              </w:rPr>
            </w:pPr>
          </w:p>
        </w:tc>
        <w:tc>
          <w:tcPr>
            <w:tcW w:w="60" w:type="dxa"/>
            <w:vAlign w:val="bottom"/>
            <w:tcBorders>
              <w:top w:val="single" w:sz="8" w:color="CCEC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44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Series C</w:t>
            </w: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4(c)</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340" w:type="dxa"/>
            <w:vAlign w:val="bottom"/>
          </w:tcPr>
          <w:p>
            <w:pPr>
              <w:spacing w:after="0"/>
              <w:rPr>
                <w:sz w:val="20"/>
                <w:szCs w:val="20"/>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(2,124)</w:t>
            </w:r>
          </w:p>
        </w:tc>
        <w:tc>
          <w:tcPr>
            <w:tcW w:w="32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2,104</w:t>
            </w:r>
          </w:p>
        </w:tc>
        <w:tc>
          <w:tcPr>
            <w:tcW w:w="50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300" w:type="dxa"/>
            <w:vAlign w:val="bottom"/>
            <w:tcBorders>
              <w:top w:val="single" w:sz="8" w:color="CCECFF"/>
            </w:tcBorders>
            <w:shd w:val="clear" w:color="auto" w:fill="CCEC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top w:val="single" w:sz="8" w:color="auto"/>
            </w:tcBorders>
            <w:shd w:val="clear" w:color="auto" w:fill="CCECFF"/>
          </w:tcPr>
          <w:p>
            <w:pPr>
              <w:spacing w:after="0"/>
              <w:rPr>
                <w:sz w:val="15"/>
                <w:szCs w:val="15"/>
                <w:color w:val="auto"/>
              </w:rPr>
            </w:pPr>
          </w:p>
        </w:tc>
        <w:tc>
          <w:tcPr>
            <w:tcW w:w="1520" w:type="dxa"/>
            <w:vAlign w:val="bottom"/>
            <w:tcBorders>
              <w:top w:val="single" w:sz="8" w:color="auto"/>
            </w:tcBorders>
            <w:shd w:val="clear" w:color="auto" w:fill="CCECFF"/>
          </w:tcPr>
          <w:p>
            <w:pPr>
              <w:spacing w:after="0"/>
              <w:rPr>
                <w:sz w:val="15"/>
                <w:szCs w:val="15"/>
                <w:color w:val="auto"/>
              </w:rPr>
            </w:pPr>
          </w:p>
        </w:tc>
        <w:tc>
          <w:tcPr>
            <w:tcW w:w="40" w:type="dxa"/>
            <w:vAlign w:val="bottom"/>
            <w:tcBorders>
              <w:top w:val="single" w:sz="8" w:color="CCECFF"/>
            </w:tcBorders>
            <w:shd w:val="clear" w:color="auto" w:fill="CCECFF"/>
          </w:tcPr>
          <w:p>
            <w:pPr>
              <w:spacing w:after="0"/>
              <w:rPr>
                <w:sz w:val="15"/>
                <w:szCs w:val="15"/>
                <w:color w:val="auto"/>
              </w:rPr>
            </w:pPr>
          </w:p>
        </w:tc>
        <w:tc>
          <w:tcPr>
            <w:tcW w:w="320" w:type="dxa"/>
            <w:vAlign w:val="bottom"/>
            <w:tcBorders>
              <w:top w:val="single" w:sz="8" w:color="auto"/>
            </w:tcBorders>
            <w:shd w:val="clear" w:color="auto" w:fill="CCECFF"/>
          </w:tcPr>
          <w:p>
            <w:pPr>
              <w:spacing w:after="0"/>
              <w:rPr>
                <w:sz w:val="15"/>
                <w:szCs w:val="15"/>
                <w:color w:val="auto"/>
              </w:rPr>
            </w:pPr>
          </w:p>
        </w:tc>
        <w:tc>
          <w:tcPr>
            <w:tcW w:w="1280" w:type="dxa"/>
            <w:vAlign w:val="bottom"/>
            <w:tcBorders>
              <w:top w:val="single" w:sz="8" w:color="auto"/>
            </w:tcBorders>
            <w:shd w:val="clear" w:color="auto" w:fill="CCECFF"/>
          </w:tcPr>
          <w:p>
            <w:pPr>
              <w:spacing w:after="0"/>
              <w:rPr>
                <w:sz w:val="15"/>
                <w:szCs w:val="15"/>
                <w:color w:val="auto"/>
              </w:rPr>
            </w:pPr>
          </w:p>
        </w:tc>
        <w:tc>
          <w:tcPr>
            <w:tcW w:w="60" w:type="dxa"/>
            <w:vAlign w:val="bottom"/>
            <w:tcBorders>
              <w:top w:val="single" w:sz="8" w:color="CCECFF"/>
            </w:tcBorders>
            <w:shd w:val="clear" w:color="auto" w:fill="CCECFF"/>
          </w:tcPr>
          <w:p>
            <w:pPr>
              <w:spacing w:after="0"/>
              <w:rPr>
                <w:sz w:val="15"/>
                <w:szCs w:val="15"/>
                <w:color w:val="auto"/>
              </w:rPr>
            </w:pPr>
          </w:p>
        </w:tc>
        <w:tc>
          <w:tcPr>
            <w:tcW w:w="1200" w:type="dxa"/>
            <w:vAlign w:val="bottom"/>
            <w:tcBorders>
              <w:top w:val="single" w:sz="8" w:color="auto"/>
            </w:tcBorders>
            <w:shd w:val="clear" w:color="auto" w:fill="CCECFF"/>
          </w:tcPr>
          <w:p>
            <w:pPr>
              <w:spacing w:after="0"/>
              <w:rPr>
                <w:sz w:val="15"/>
                <w:szCs w:val="15"/>
                <w:color w:val="auto"/>
              </w:rPr>
            </w:pPr>
          </w:p>
        </w:tc>
        <w:tc>
          <w:tcPr>
            <w:tcW w:w="480" w:type="dxa"/>
            <w:vAlign w:val="bottom"/>
            <w:tcBorders>
              <w:top w:val="single" w:sz="8" w:color="auto"/>
            </w:tcBorders>
            <w:shd w:val="clear" w:color="auto" w:fill="CCECFF"/>
          </w:tcPr>
          <w:p>
            <w:pPr>
              <w:spacing w:after="0"/>
              <w:rPr>
                <w:sz w:val="15"/>
                <w:szCs w:val="15"/>
                <w:color w:val="auto"/>
              </w:rPr>
            </w:pPr>
          </w:p>
        </w:tc>
        <w:tc>
          <w:tcPr>
            <w:tcW w:w="80" w:type="dxa"/>
            <w:vAlign w:val="bottom"/>
            <w:tcBorders>
              <w:top w:val="single" w:sz="8" w:color="CCECFF"/>
            </w:tcBorders>
            <w:shd w:val="clear" w:color="auto" w:fill="CCECFF"/>
          </w:tcPr>
          <w:p>
            <w:pPr>
              <w:spacing w:after="0"/>
              <w:rPr>
                <w:sz w:val="15"/>
                <w:szCs w:val="15"/>
                <w:color w:val="auto"/>
              </w:rPr>
            </w:pPr>
          </w:p>
        </w:tc>
        <w:tc>
          <w:tcPr>
            <w:tcW w:w="620" w:type="dxa"/>
            <w:vAlign w:val="bottom"/>
            <w:tcBorders>
              <w:top w:val="single" w:sz="8" w:color="CCECFF"/>
            </w:tcBorders>
            <w:shd w:val="clear" w:color="auto" w:fill="CCECFF"/>
          </w:tcPr>
          <w:p>
            <w:pPr>
              <w:spacing w:after="0"/>
              <w:rPr>
                <w:sz w:val="15"/>
                <w:szCs w:val="15"/>
                <w:color w:val="auto"/>
              </w:rPr>
            </w:pPr>
          </w:p>
        </w:tc>
        <w:tc>
          <w:tcPr>
            <w:tcW w:w="80" w:type="dxa"/>
            <w:vAlign w:val="bottom"/>
            <w:tcBorders>
              <w:top w:val="single" w:sz="8" w:color="CCECFF"/>
            </w:tcBorders>
            <w:shd w:val="clear" w:color="auto" w:fill="CCECFF"/>
          </w:tcPr>
          <w:p>
            <w:pPr>
              <w:spacing w:after="0"/>
              <w:rPr>
                <w:sz w:val="15"/>
                <w:szCs w:val="15"/>
                <w:color w:val="auto"/>
              </w:rPr>
            </w:pPr>
          </w:p>
        </w:tc>
        <w:tc>
          <w:tcPr>
            <w:tcW w:w="220" w:type="dxa"/>
            <w:vAlign w:val="bottom"/>
            <w:tcBorders>
              <w:top w:val="single" w:sz="8" w:color="auto"/>
            </w:tcBorders>
            <w:shd w:val="clear" w:color="auto" w:fill="CCECFF"/>
          </w:tcPr>
          <w:p>
            <w:pPr>
              <w:spacing w:after="0"/>
              <w:rPr>
                <w:sz w:val="15"/>
                <w:szCs w:val="15"/>
                <w:color w:val="auto"/>
              </w:rPr>
            </w:pPr>
          </w:p>
        </w:tc>
        <w:tc>
          <w:tcPr>
            <w:tcW w:w="1180" w:type="dxa"/>
            <w:vAlign w:val="bottom"/>
            <w:tcBorders>
              <w:top w:val="single" w:sz="8" w:color="auto"/>
            </w:tcBorders>
            <w:shd w:val="clear" w:color="auto" w:fill="CCECFF"/>
          </w:tcPr>
          <w:p>
            <w:pPr>
              <w:spacing w:after="0"/>
              <w:rPr>
                <w:sz w:val="15"/>
                <w:szCs w:val="15"/>
                <w:color w:val="auto"/>
              </w:rPr>
            </w:pPr>
          </w:p>
        </w:tc>
        <w:tc>
          <w:tcPr>
            <w:tcW w:w="20" w:type="dxa"/>
            <w:vAlign w:val="bottom"/>
            <w:tcBorders>
              <w:top w:val="single" w:sz="8" w:color="CCECFF"/>
            </w:tcBorders>
            <w:shd w:val="clear" w:color="auto" w:fill="CCECFF"/>
          </w:tcPr>
          <w:p>
            <w:pPr>
              <w:spacing w:after="0"/>
              <w:rPr>
                <w:sz w:val="15"/>
                <w:szCs w:val="15"/>
                <w:color w:val="auto"/>
              </w:rPr>
            </w:pPr>
          </w:p>
        </w:tc>
        <w:tc>
          <w:tcPr>
            <w:tcW w:w="440" w:type="dxa"/>
            <w:vAlign w:val="bottom"/>
            <w:tcBorders>
              <w:top w:val="single" w:sz="8" w:color="CCECFF"/>
            </w:tcBorders>
            <w:shd w:val="clear" w:color="auto" w:fill="CCECFF"/>
          </w:tcPr>
          <w:p>
            <w:pPr>
              <w:spacing w:after="0"/>
              <w:rPr>
                <w:sz w:val="15"/>
                <w:szCs w:val="15"/>
                <w:color w:val="auto"/>
              </w:rPr>
            </w:pPr>
          </w:p>
        </w:tc>
        <w:tc>
          <w:tcPr>
            <w:tcW w:w="60" w:type="dxa"/>
            <w:vAlign w:val="bottom"/>
            <w:tcBorders>
              <w:top w:val="single" w:sz="8" w:color="CCECFF"/>
            </w:tcBorders>
            <w:shd w:val="clear" w:color="auto" w:fill="CCECFF"/>
          </w:tcPr>
          <w:p>
            <w:pPr>
              <w:spacing w:after="0"/>
              <w:rPr>
                <w:sz w:val="15"/>
                <w:szCs w:val="15"/>
                <w:color w:val="auto"/>
              </w:rPr>
            </w:pPr>
          </w:p>
        </w:tc>
        <w:tc>
          <w:tcPr>
            <w:tcW w:w="280" w:type="dxa"/>
            <w:vAlign w:val="bottom"/>
            <w:tcBorders>
              <w:top w:val="single" w:sz="8" w:color="auto"/>
            </w:tcBorders>
            <w:shd w:val="clear" w:color="auto" w:fill="CCECFF"/>
          </w:tcPr>
          <w:p>
            <w:pPr>
              <w:spacing w:after="0"/>
              <w:rPr>
                <w:sz w:val="15"/>
                <w:szCs w:val="15"/>
                <w:color w:val="auto"/>
              </w:rPr>
            </w:pPr>
          </w:p>
        </w:tc>
        <w:tc>
          <w:tcPr>
            <w:tcW w:w="1280" w:type="dxa"/>
            <w:vAlign w:val="bottom"/>
            <w:tcBorders>
              <w:top w:val="single" w:sz="8" w:color="auto"/>
            </w:tcBorders>
            <w:shd w:val="clear" w:color="auto" w:fill="CCECFF"/>
          </w:tcPr>
          <w:p>
            <w:pPr>
              <w:spacing w:after="0"/>
              <w:rPr>
                <w:sz w:val="15"/>
                <w:szCs w:val="15"/>
                <w:color w:val="auto"/>
              </w:rPr>
            </w:pPr>
          </w:p>
        </w:tc>
        <w:tc>
          <w:tcPr>
            <w:tcW w:w="440" w:type="dxa"/>
            <w:vAlign w:val="bottom"/>
            <w:tcBorders>
              <w:top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available to</w:t>
            </w:r>
          </w:p>
        </w:tc>
        <w:tc>
          <w:tcPr>
            <w:tcW w:w="340" w:type="dxa"/>
            <w:vAlign w:val="bottom"/>
            <w:shd w:val="clear" w:color="auto" w:fill="CCECFF"/>
          </w:tcPr>
          <w:p>
            <w:pPr>
              <w:spacing w:after="0"/>
              <w:rPr>
                <w:sz w:val="18"/>
                <w:szCs w:val="18"/>
                <w:color w:val="auto"/>
              </w:rPr>
            </w:pPr>
          </w:p>
        </w:tc>
        <w:tc>
          <w:tcPr>
            <w:tcW w:w="152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128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62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18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28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340" w:type="dxa"/>
            <w:vAlign w:val="bottom"/>
            <w:vMerge w:val="restart"/>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40" w:type="dxa"/>
            <w:vAlign w:val="bottom"/>
            <w:vMerge w:val="restart"/>
            <w:shd w:val="clear" w:color="auto" w:fill="CCECFF"/>
          </w:tcPr>
          <w:p>
            <w:pPr>
              <w:spacing w:after="0"/>
              <w:rPr>
                <w:sz w:val="18"/>
                <w:szCs w:val="18"/>
                <w:color w:val="auto"/>
              </w:rPr>
            </w:pPr>
          </w:p>
        </w:tc>
        <w:tc>
          <w:tcPr>
            <w:tcW w:w="320" w:type="dxa"/>
            <w:vAlign w:val="bottom"/>
            <w:vMerge w:val="restart"/>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vMerge w:val="restart"/>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(65,494)</w:t>
            </w:r>
          </w:p>
        </w:tc>
        <w:tc>
          <w:tcPr>
            <w:tcW w:w="1200" w:type="dxa"/>
            <w:vAlign w:val="bottom"/>
            <w:vMerge w:val="restart"/>
            <w:shd w:val="clear" w:color="auto" w:fill="CCEC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vMerge w:val="restart"/>
            <w:shd w:val="clear" w:color="auto" w:fill="CCECFF"/>
          </w:tcPr>
          <w:p>
            <w:pPr>
              <w:jc w:val="right"/>
              <w:ind w:right="80"/>
              <w:spacing w:after="0"/>
              <w:rPr>
                <w:sz w:val="20"/>
                <w:szCs w:val="20"/>
                <w:color w:val="auto"/>
              </w:rPr>
            </w:pPr>
            <w:r>
              <w:rPr>
                <w:rFonts w:ascii="Times New Roman" w:cs="Times New Roman" w:eastAsia="Times New Roman" w:hAnsi="Times New Roman"/>
                <w:sz w:val="18"/>
                <w:szCs w:val="18"/>
                <w:color w:val="auto"/>
              </w:rPr>
              <w:t>(351)</w:t>
            </w:r>
          </w:p>
        </w:tc>
        <w:tc>
          <w:tcPr>
            <w:tcW w:w="62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(797)</w:t>
            </w:r>
          </w:p>
        </w:tc>
        <w:tc>
          <w:tcPr>
            <w:tcW w:w="44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2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(72,175)</w:t>
            </w:r>
          </w:p>
        </w:tc>
        <w:tc>
          <w:tcPr>
            <w:tcW w:w="44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340" w:type="dxa"/>
            <w:vAlign w:val="bottom"/>
            <w:vMerge w:val="continue"/>
            <w:shd w:val="clear" w:color="auto" w:fill="CCECFF"/>
          </w:tcPr>
          <w:p>
            <w:pPr>
              <w:spacing w:after="0"/>
              <w:rPr>
                <w:sz w:val="20"/>
                <w:szCs w:val="20"/>
                <w:color w:val="auto"/>
              </w:rPr>
            </w:pPr>
          </w:p>
        </w:tc>
        <w:tc>
          <w:tcPr>
            <w:tcW w:w="1520" w:type="dxa"/>
            <w:vAlign w:val="bottom"/>
            <w:vMerge w:val="continue"/>
            <w:shd w:val="clear" w:color="auto" w:fill="CCECFF"/>
          </w:tcPr>
          <w:p>
            <w:pPr>
              <w:spacing w:after="0"/>
              <w:rPr>
                <w:sz w:val="20"/>
                <w:szCs w:val="20"/>
                <w:color w:val="auto"/>
              </w:rPr>
            </w:pPr>
          </w:p>
        </w:tc>
        <w:tc>
          <w:tcPr>
            <w:tcW w:w="40" w:type="dxa"/>
            <w:vAlign w:val="bottom"/>
            <w:vMerge w:val="continue"/>
            <w:shd w:val="clear" w:color="auto" w:fill="CCECFF"/>
          </w:tcPr>
          <w:p>
            <w:pPr>
              <w:spacing w:after="0"/>
              <w:rPr>
                <w:sz w:val="20"/>
                <w:szCs w:val="20"/>
                <w:color w:val="auto"/>
              </w:rPr>
            </w:pPr>
          </w:p>
        </w:tc>
        <w:tc>
          <w:tcPr>
            <w:tcW w:w="320" w:type="dxa"/>
            <w:vAlign w:val="bottom"/>
            <w:vMerge w:val="continue"/>
            <w:shd w:val="clear" w:color="auto" w:fill="CCECFF"/>
          </w:tcPr>
          <w:p>
            <w:pPr>
              <w:spacing w:after="0"/>
              <w:rPr>
                <w:sz w:val="20"/>
                <w:szCs w:val="20"/>
                <w:color w:val="auto"/>
              </w:rPr>
            </w:pPr>
          </w:p>
        </w:tc>
        <w:tc>
          <w:tcPr>
            <w:tcW w:w="1340" w:type="dxa"/>
            <w:vAlign w:val="bottom"/>
            <w:gridSpan w:val="2"/>
            <w:vMerge w:val="continue"/>
            <w:shd w:val="clear" w:color="auto" w:fill="CCECFF"/>
          </w:tcPr>
          <w:p>
            <w:pPr>
              <w:spacing w:after="0"/>
              <w:rPr>
                <w:sz w:val="20"/>
                <w:szCs w:val="20"/>
                <w:color w:val="auto"/>
              </w:rPr>
            </w:pPr>
          </w:p>
        </w:tc>
        <w:tc>
          <w:tcPr>
            <w:tcW w:w="1200" w:type="dxa"/>
            <w:vAlign w:val="bottom"/>
            <w:vMerge w:val="continue"/>
            <w:shd w:val="clear" w:color="auto" w:fill="CCECFF"/>
          </w:tcPr>
          <w:p>
            <w:pPr>
              <w:spacing w:after="0"/>
              <w:rPr>
                <w:sz w:val="20"/>
                <w:szCs w:val="20"/>
                <w:color w:val="auto"/>
              </w:rPr>
            </w:pPr>
          </w:p>
        </w:tc>
        <w:tc>
          <w:tcPr>
            <w:tcW w:w="560" w:type="dxa"/>
            <w:vAlign w:val="bottom"/>
            <w:gridSpan w:val="2"/>
            <w:vMerge w:val="continue"/>
            <w:shd w:val="clear" w:color="auto" w:fill="CCECFF"/>
          </w:tcPr>
          <w:p>
            <w:pPr>
              <w:spacing w:after="0"/>
              <w:rPr>
                <w:sz w:val="20"/>
                <w:szCs w:val="20"/>
                <w:color w:val="auto"/>
              </w:rPr>
            </w:pPr>
          </w:p>
        </w:tc>
        <w:tc>
          <w:tcPr>
            <w:tcW w:w="620" w:type="dxa"/>
            <w:vAlign w:val="bottom"/>
            <w:shd w:val="clear" w:color="auto" w:fill="CCECFF"/>
          </w:tcPr>
          <w:p>
            <w:pPr>
              <w:spacing w:after="0"/>
              <w:rPr>
                <w:sz w:val="20"/>
                <w:szCs w:val="20"/>
                <w:color w:val="auto"/>
              </w:rPr>
            </w:pPr>
          </w:p>
        </w:tc>
        <w:tc>
          <w:tcPr>
            <w:tcW w:w="80" w:type="dxa"/>
            <w:vAlign w:val="bottom"/>
            <w:shd w:val="clear" w:color="auto" w:fill="CCECFF"/>
          </w:tcPr>
          <w:p>
            <w:pPr>
              <w:spacing w:after="0"/>
              <w:rPr>
                <w:sz w:val="20"/>
                <w:szCs w:val="20"/>
                <w:color w:val="auto"/>
              </w:rPr>
            </w:pPr>
          </w:p>
        </w:tc>
        <w:tc>
          <w:tcPr>
            <w:tcW w:w="220" w:type="dxa"/>
            <w:vAlign w:val="bottom"/>
            <w:vMerge w:val="continue"/>
            <w:shd w:val="clear" w:color="auto" w:fill="CCECFF"/>
          </w:tcPr>
          <w:p>
            <w:pPr>
              <w:spacing w:after="0"/>
              <w:rPr>
                <w:sz w:val="20"/>
                <w:szCs w:val="20"/>
                <w:color w:val="auto"/>
              </w:rPr>
            </w:pPr>
          </w:p>
        </w:tc>
        <w:tc>
          <w:tcPr>
            <w:tcW w:w="1200" w:type="dxa"/>
            <w:vAlign w:val="bottom"/>
            <w:gridSpan w:val="2"/>
            <w:vMerge w:val="continue"/>
            <w:shd w:val="clear" w:color="auto" w:fill="CCECFF"/>
          </w:tcPr>
          <w:p>
            <w:pPr>
              <w:spacing w:after="0"/>
              <w:rPr>
                <w:sz w:val="20"/>
                <w:szCs w:val="20"/>
                <w:color w:val="auto"/>
              </w:rPr>
            </w:pPr>
          </w:p>
        </w:tc>
        <w:tc>
          <w:tcPr>
            <w:tcW w:w="440" w:type="dxa"/>
            <w:vAlign w:val="bottom"/>
            <w:shd w:val="clear" w:color="auto" w:fill="CCECFF"/>
          </w:tcPr>
          <w:p>
            <w:pPr>
              <w:spacing w:after="0"/>
              <w:rPr>
                <w:sz w:val="20"/>
                <w:szCs w:val="20"/>
                <w:color w:val="auto"/>
              </w:rPr>
            </w:pPr>
          </w:p>
        </w:tc>
        <w:tc>
          <w:tcPr>
            <w:tcW w:w="60" w:type="dxa"/>
            <w:vAlign w:val="bottom"/>
            <w:shd w:val="clear" w:color="auto" w:fill="CCECFF"/>
          </w:tcPr>
          <w:p>
            <w:pPr>
              <w:spacing w:after="0"/>
              <w:rPr>
                <w:sz w:val="20"/>
                <w:szCs w:val="20"/>
                <w:color w:val="auto"/>
              </w:rPr>
            </w:pPr>
          </w:p>
        </w:tc>
        <w:tc>
          <w:tcPr>
            <w:tcW w:w="280" w:type="dxa"/>
            <w:vAlign w:val="bottom"/>
            <w:vMerge w:val="continue"/>
            <w:shd w:val="clear" w:color="auto" w:fill="CCECFF"/>
          </w:tcPr>
          <w:p>
            <w:pPr>
              <w:spacing w:after="0"/>
              <w:rPr>
                <w:sz w:val="20"/>
                <w:szCs w:val="20"/>
                <w:color w:val="auto"/>
              </w:rPr>
            </w:pPr>
          </w:p>
        </w:tc>
        <w:tc>
          <w:tcPr>
            <w:tcW w:w="1280" w:type="dxa"/>
            <w:vAlign w:val="bottom"/>
            <w:vMerge w:val="continue"/>
            <w:shd w:val="clear" w:color="auto" w:fill="CCECFF"/>
          </w:tcPr>
          <w:p>
            <w:pPr>
              <w:spacing w:after="0"/>
              <w:rPr>
                <w:sz w:val="20"/>
                <w:szCs w:val="20"/>
                <w:color w:val="auto"/>
              </w:rPr>
            </w:pPr>
          </w:p>
        </w:tc>
        <w:tc>
          <w:tcPr>
            <w:tcW w:w="44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300" w:type="dxa"/>
            <w:vAlign w:val="bottom"/>
            <w:tcBorders>
              <w:top w:val="single" w:sz="8" w:color="CCECFF"/>
            </w:tcBorders>
          </w:tcPr>
          <w:p>
            <w:pPr>
              <w:spacing w:after="0"/>
              <w:rPr>
                <w:sz w:val="20"/>
                <w:szCs w:val="20"/>
                <w:color w:val="auto"/>
              </w:rPr>
            </w:pPr>
            <w:r>
              <w:rPr>
                <w:rFonts w:ascii="Times New Roman" w:cs="Times New Roman" w:eastAsia="Times New Roman" w:hAnsi="Times New Roman"/>
                <w:sz w:val="18"/>
                <w:szCs w:val="18"/>
                <w:color w:val="auto"/>
              </w:rPr>
              <w:t>Enzon</w:t>
            </w:r>
          </w:p>
        </w:tc>
        <w:tc>
          <w:tcPr>
            <w:tcW w:w="3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74,214,603</w:t>
            </w:r>
          </w:p>
        </w:tc>
        <w:tc>
          <w:tcPr>
            <w:tcW w:w="40" w:type="dxa"/>
            <w:vAlign w:val="bottom"/>
            <w:tcBorders>
              <w:top w:val="single" w:sz="8" w:color="CCEC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CFF"/>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CFF"/>
            </w:tcBorders>
          </w:tcPr>
          <w:p>
            <w:pPr>
              <w:spacing w:after="0"/>
              <w:rPr>
                <w:sz w:val="24"/>
                <w:szCs w:val="24"/>
                <w:color w:val="auto"/>
              </w:rPr>
            </w:pPr>
          </w:p>
        </w:tc>
        <w:tc>
          <w:tcPr>
            <w:tcW w:w="620" w:type="dxa"/>
            <w:vAlign w:val="bottom"/>
            <w:tcBorders>
              <w:top w:val="single" w:sz="8" w:color="CCECFF"/>
            </w:tcBorders>
          </w:tcPr>
          <w:p>
            <w:pPr>
              <w:spacing w:after="0"/>
              <w:rPr>
                <w:sz w:val="24"/>
                <w:szCs w:val="24"/>
                <w:color w:val="auto"/>
              </w:rPr>
            </w:pPr>
          </w:p>
        </w:tc>
        <w:tc>
          <w:tcPr>
            <w:tcW w:w="80" w:type="dxa"/>
            <w:vAlign w:val="bottom"/>
            <w:tcBorders>
              <w:top w:val="single" w:sz="8" w:color="CCEC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CFF"/>
            </w:tcBorders>
          </w:tcPr>
          <w:p>
            <w:pPr>
              <w:spacing w:after="0"/>
              <w:rPr>
                <w:sz w:val="24"/>
                <w:szCs w:val="24"/>
                <w:color w:val="auto"/>
              </w:rPr>
            </w:pPr>
          </w:p>
        </w:tc>
        <w:tc>
          <w:tcPr>
            <w:tcW w:w="440" w:type="dxa"/>
            <w:vAlign w:val="bottom"/>
            <w:tcBorders>
              <w:top w:val="single" w:sz="8" w:color="CCECFF"/>
            </w:tcBorders>
          </w:tcPr>
          <w:p>
            <w:pPr>
              <w:spacing w:after="0"/>
              <w:rPr>
                <w:sz w:val="24"/>
                <w:szCs w:val="24"/>
                <w:color w:val="auto"/>
              </w:rPr>
            </w:pPr>
          </w:p>
        </w:tc>
        <w:tc>
          <w:tcPr>
            <w:tcW w:w="60" w:type="dxa"/>
            <w:vAlign w:val="bottom"/>
            <w:tcBorders>
              <w:top w:val="single" w:sz="8" w:color="CCEC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EC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Pharmaceuticals,</w:t>
            </w: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Inc. basic and</w:t>
            </w: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931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132320" cy="9315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diluted weighted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w:t>
      </w:r>
    </w:p>
    <w:p>
      <w:pPr>
        <w:sectPr>
          <w:pgSz w:w="11900" w:h="16838" w:orient="portrait"/>
          <w:cols w:equalWidth="0" w:num="1">
            <w:col w:w="11240"/>
          </w:cols>
          <w:pgMar w:left="320" w:top="900" w:right="339" w:bottom="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74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w:t>
      </w: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Enzon</w:t>
            </w: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Pharmaceuticals,</w:t>
            </w: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Inc. basic and</w:t>
            </w: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diluted net loss</w:t>
            </w: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per share</w:t>
            </w:r>
          </w:p>
        </w:tc>
        <w:tc>
          <w:tcPr>
            <w:tcW w:w="8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80" w:type="dxa"/>
            <w:vAlign w:val="bottom"/>
            <w:shd w:val="clear" w:color="auto" w:fill="CCECFF"/>
          </w:tcPr>
          <w:p>
            <w:pPr>
              <w:spacing w:after="0" w:line="198" w:lineRule="exact"/>
              <w:rPr>
                <w:sz w:val="20"/>
                <w:szCs w:val="20"/>
                <w:color w:val="auto"/>
              </w:rPr>
            </w:pPr>
            <w:r>
              <w:rPr>
                <w:rFonts w:ascii="Times New Roman" w:cs="Times New Roman" w:eastAsia="Times New Roman" w:hAnsi="Times New Roman"/>
                <w:sz w:val="18"/>
                <w:szCs w:val="18"/>
                <w:color w:val="auto"/>
              </w:rPr>
              <w:t>Viskase</w:t>
            </w:r>
          </w:p>
        </w:tc>
        <w:tc>
          <w:tcPr>
            <w:tcW w:w="800" w:type="dxa"/>
            <w:vAlign w:val="bottom"/>
            <w:shd w:val="clear" w:color="auto" w:fill="CCECFF"/>
          </w:tcPr>
          <w:p>
            <w:pPr>
              <w:spacing w:after="0"/>
              <w:rPr>
                <w:sz w:val="17"/>
                <w:szCs w:val="17"/>
                <w:color w:val="auto"/>
              </w:rPr>
            </w:pPr>
          </w:p>
        </w:tc>
        <w:tc>
          <w:tcPr>
            <w:tcW w:w="1140" w:type="dxa"/>
            <w:vAlign w:val="bottom"/>
            <w:shd w:val="clear" w:color="auto" w:fill="CCECFF"/>
          </w:tcPr>
          <w:p>
            <w:pPr>
              <w:spacing w:after="0"/>
              <w:rPr>
                <w:sz w:val="17"/>
                <w:szCs w:val="17"/>
                <w:color w:val="auto"/>
              </w:rPr>
            </w:pPr>
          </w:p>
        </w:tc>
        <w:tc>
          <w:tcPr>
            <w:tcW w:w="440" w:type="dxa"/>
            <w:vAlign w:val="bottom"/>
            <w:shd w:val="clear" w:color="auto" w:fill="CCECFF"/>
          </w:tcPr>
          <w:p>
            <w:pPr>
              <w:spacing w:after="0"/>
              <w:rPr>
                <w:sz w:val="17"/>
                <w:szCs w:val="17"/>
                <w:color w:val="auto"/>
              </w:rPr>
            </w:pPr>
          </w:p>
        </w:tc>
        <w:tc>
          <w:tcPr>
            <w:tcW w:w="1220" w:type="dxa"/>
            <w:vAlign w:val="bottom"/>
            <w:shd w:val="clear" w:color="auto" w:fill="CCECFF"/>
          </w:tcPr>
          <w:p>
            <w:pPr>
              <w:spacing w:after="0"/>
              <w:rPr>
                <w:sz w:val="17"/>
                <w:szCs w:val="17"/>
                <w:color w:val="auto"/>
              </w:rPr>
            </w:pPr>
          </w:p>
        </w:tc>
        <w:tc>
          <w:tcPr>
            <w:tcW w:w="820" w:type="dxa"/>
            <w:vAlign w:val="bottom"/>
            <w:shd w:val="clear" w:color="auto" w:fill="CCECFF"/>
          </w:tcPr>
          <w:p>
            <w:pPr>
              <w:spacing w:after="0"/>
              <w:rPr>
                <w:sz w:val="17"/>
                <w:szCs w:val="17"/>
                <w:color w:val="auto"/>
              </w:rPr>
            </w:pPr>
          </w:p>
        </w:tc>
        <w:tc>
          <w:tcPr>
            <w:tcW w:w="1180" w:type="dxa"/>
            <w:vAlign w:val="bottom"/>
            <w:shd w:val="clear" w:color="auto" w:fill="CCECFF"/>
          </w:tcPr>
          <w:p>
            <w:pPr>
              <w:spacing w:after="0"/>
              <w:rPr>
                <w:sz w:val="17"/>
                <w:szCs w:val="17"/>
                <w:color w:val="auto"/>
              </w:rPr>
            </w:pPr>
          </w:p>
        </w:tc>
        <w:tc>
          <w:tcPr>
            <w:tcW w:w="1120" w:type="dxa"/>
            <w:vAlign w:val="bottom"/>
            <w:shd w:val="clear" w:color="auto" w:fill="CCECFF"/>
          </w:tcPr>
          <w:p>
            <w:pPr>
              <w:spacing w:after="0"/>
              <w:rPr>
                <w:sz w:val="17"/>
                <w:szCs w:val="17"/>
                <w:color w:val="auto"/>
              </w:rPr>
            </w:pPr>
          </w:p>
        </w:tc>
        <w:tc>
          <w:tcPr>
            <w:tcW w:w="940" w:type="dxa"/>
            <w:vAlign w:val="bottom"/>
            <w:shd w:val="clear" w:color="auto" w:fill="CCECFF"/>
          </w:tcPr>
          <w:p>
            <w:pPr>
              <w:spacing w:after="0"/>
              <w:rPr>
                <w:sz w:val="17"/>
                <w:szCs w:val="17"/>
                <w:color w:val="auto"/>
              </w:rPr>
            </w:pPr>
          </w:p>
        </w:tc>
        <w:tc>
          <w:tcPr>
            <w:tcW w:w="760" w:type="dxa"/>
            <w:vAlign w:val="bottom"/>
            <w:shd w:val="clear" w:color="auto" w:fill="CCECFF"/>
          </w:tcPr>
          <w:p>
            <w:pPr>
              <w:spacing w:after="0"/>
              <w:rPr>
                <w:sz w:val="17"/>
                <w:szCs w:val="17"/>
                <w:color w:val="auto"/>
              </w:rPr>
            </w:pPr>
          </w:p>
        </w:tc>
        <w:tc>
          <w:tcPr>
            <w:tcW w:w="1140" w:type="dxa"/>
            <w:vAlign w:val="bottom"/>
            <w:shd w:val="clear" w:color="auto" w:fill="CCECFF"/>
          </w:tcPr>
          <w:p>
            <w:pPr>
              <w:spacing w:after="0"/>
              <w:rPr>
                <w:sz w:val="17"/>
                <w:szCs w:val="17"/>
                <w:color w:val="auto"/>
              </w:rPr>
            </w:pPr>
          </w:p>
        </w:tc>
        <w:tc>
          <w:tcPr>
            <w:tcW w:w="4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Companies, Inc.</w:t>
            </w:r>
          </w:p>
        </w:tc>
        <w:tc>
          <w:tcPr>
            <w:tcW w:w="800" w:type="dxa"/>
            <w:vAlign w:val="bottom"/>
            <w:shd w:val="clear" w:color="auto" w:fill="CCECFF"/>
          </w:tcPr>
          <w:p>
            <w:pPr>
              <w:spacing w:after="0"/>
              <w:rPr>
                <w:sz w:val="18"/>
                <w:szCs w:val="18"/>
                <w:color w:val="auto"/>
              </w:rPr>
            </w:pPr>
          </w:p>
        </w:tc>
        <w:tc>
          <w:tcPr>
            <w:tcW w:w="114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122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1180" w:type="dxa"/>
            <w:vAlign w:val="bottom"/>
            <w:shd w:val="clear" w:color="auto" w:fill="CCECFF"/>
          </w:tcPr>
          <w:p>
            <w:pPr>
              <w:spacing w:after="0"/>
              <w:rPr>
                <w:sz w:val="18"/>
                <w:szCs w:val="18"/>
                <w:color w:val="auto"/>
              </w:rPr>
            </w:pPr>
          </w:p>
        </w:tc>
        <w:tc>
          <w:tcPr>
            <w:tcW w:w="1120" w:type="dxa"/>
            <w:vAlign w:val="bottom"/>
            <w:shd w:val="clear" w:color="auto" w:fill="CCECFF"/>
          </w:tcPr>
          <w:p>
            <w:pPr>
              <w:spacing w:after="0"/>
              <w:rPr>
                <w:sz w:val="18"/>
                <w:szCs w:val="18"/>
                <w:color w:val="auto"/>
              </w:rPr>
            </w:pPr>
          </w:p>
        </w:tc>
        <w:tc>
          <w:tcPr>
            <w:tcW w:w="940" w:type="dxa"/>
            <w:vAlign w:val="bottom"/>
            <w:shd w:val="clear" w:color="auto" w:fill="CCECFF"/>
          </w:tcPr>
          <w:p>
            <w:pPr>
              <w:spacing w:after="0"/>
              <w:rPr>
                <w:sz w:val="18"/>
                <w:szCs w:val="18"/>
                <w:color w:val="auto"/>
              </w:rPr>
            </w:pPr>
          </w:p>
        </w:tc>
        <w:tc>
          <w:tcPr>
            <w:tcW w:w="760" w:type="dxa"/>
            <w:vAlign w:val="bottom"/>
            <w:shd w:val="clear" w:color="auto" w:fill="CCECFF"/>
          </w:tcPr>
          <w:p>
            <w:pPr>
              <w:spacing w:after="0"/>
              <w:rPr>
                <w:sz w:val="18"/>
                <w:szCs w:val="18"/>
                <w:color w:val="auto"/>
              </w:rPr>
            </w:pPr>
          </w:p>
        </w:tc>
        <w:tc>
          <w:tcPr>
            <w:tcW w:w="114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800" w:type="dxa"/>
            <w:vAlign w:val="bottom"/>
            <w:shd w:val="clear" w:color="auto" w:fill="CCECFF"/>
          </w:tcPr>
          <w:p>
            <w:pPr>
              <w:spacing w:after="0"/>
              <w:rPr>
                <w:sz w:val="18"/>
                <w:szCs w:val="18"/>
                <w:color w:val="auto"/>
              </w:rPr>
            </w:pPr>
          </w:p>
        </w:tc>
        <w:tc>
          <w:tcPr>
            <w:tcW w:w="114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122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1180" w:type="dxa"/>
            <w:vAlign w:val="bottom"/>
            <w:shd w:val="clear" w:color="auto" w:fill="CCECFF"/>
          </w:tcPr>
          <w:p>
            <w:pPr>
              <w:spacing w:after="0"/>
              <w:rPr>
                <w:sz w:val="18"/>
                <w:szCs w:val="18"/>
                <w:color w:val="auto"/>
              </w:rPr>
            </w:pPr>
          </w:p>
        </w:tc>
        <w:tc>
          <w:tcPr>
            <w:tcW w:w="1120" w:type="dxa"/>
            <w:vAlign w:val="bottom"/>
            <w:shd w:val="clear" w:color="auto" w:fill="CCECFF"/>
          </w:tcPr>
          <w:p>
            <w:pPr>
              <w:spacing w:after="0"/>
              <w:rPr>
                <w:sz w:val="18"/>
                <w:szCs w:val="18"/>
                <w:color w:val="auto"/>
              </w:rPr>
            </w:pPr>
          </w:p>
        </w:tc>
        <w:tc>
          <w:tcPr>
            <w:tcW w:w="940" w:type="dxa"/>
            <w:vAlign w:val="bottom"/>
            <w:shd w:val="clear" w:color="auto" w:fill="CCECFF"/>
          </w:tcPr>
          <w:p>
            <w:pPr>
              <w:spacing w:after="0"/>
              <w:rPr>
                <w:sz w:val="18"/>
                <w:szCs w:val="18"/>
                <w:color w:val="auto"/>
              </w:rPr>
            </w:pPr>
          </w:p>
        </w:tc>
        <w:tc>
          <w:tcPr>
            <w:tcW w:w="760" w:type="dxa"/>
            <w:vAlign w:val="bottom"/>
            <w:shd w:val="clear" w:color="auto" w:fill="CCECFF"/>
          </w:tcPr>
          <w:p>
            <w:pPr>
              <w:spacing w:after="0"/>
              <w:rPr>
                <w:sz w:val="18"/>
                <w:szCs w:val="18"/>
                <w:color w:val="auto"/>
              </w:rPr>
            </w:pPr>
          </w:p>
        </w:tc>
        <w:tc>
          <w:tcPr>
            <w:tcW w:w="114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weighted</w:t>
            </w:r>
          </w:p>
        </w:tc>
        <w:tc>
          <w:tcPr>
            <w:tcW w:w="800" w:type="dxa"/>
            <w:vAlign w:val="bottom"/>
            <w:shd w:val="clear" w:color="auto" w:fill="CCECFF"/>
          </w:tcPr>
          <w:p>
            <w:pPr>
              <w:spacing w:after="0"/>
              <w:rPr>
                <w:sz w:val="18"/>
                <w:szCs w:val="18"/>
                <w:color w:val="auto"/>
              </w:rPr>
            </w:pPr>
          </w:p>
        </w:tc>
        <w:tc>
          <w:tcPr>
            <w:tcW w:w="114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122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1180" w:type="dxa"/>
            <w:vAlign w:val="bottom"/>
            <w:shd w:val="clear" w:color="auto" w:fill="CCECFF"/>
          </w:tcPr>
          <w:p>
            <w:pPr>
              <w:spacing w:after="0"/>
              <w:rPr>
                <w:sz w:val="18"/>
                <w:szCs w:val="18"/>
                <w:color w:val="auto"/>
              </w:rPr>
            </w:pPr>
          </w:p>
        </w:tc>
        <w:tc>
          <w:tcPr>
            <w:tcW w:w="1120" w:type="dxa"/>
            <w:vAlign w:val="bottom"/>
            <w:shd w:val="clear" w:color="auto" w:fill="CCECFF"/>
          </w:tcPr>
          <w:p>
            <w:pPr>
              <w:spacing w:after="0"/>
              <w:rPr>
                <w:sz w:val="18"/>
                <w:szCs w:val="18"/>
                <w:color w:val="auto"/>
              </w:rPr>
            </w:pPr>
          </w:p>
        </w:tc>
        <w:tc>
          <w:tcPr>
            <w:tcW w:w="940" w:type="dxa"/>
            <w:vAlign w:val="bottom"/>
            <w:shd w:val="clear" w:color="auto" w:fill="CCECFF"/>
          </w:tcPr>
          <w:p>
            <w:pPr>
              <w:spacing w:after="0"/>
              <w:rPr>
                <w:sz w:val="18"/>
                <w:szCs w:val="18"/>
                <w:color w:val="auto"/>
              </w:rPr>
            </w:pPr>
          </w:p>
        </w:tc>
        <w:tc>
          <w:tcPr>
            <w:tcW w:w="760" w:type="dxa"/>
            <w:vAlign w:val="bottom"/>
            <w:shd w:val="clear" w:color="auto" w:fill="CCECFF"/>
          </w:tcPr>
          <w:p>
            <w:pPr>
              <w:spacing w:after="0"/>
              <w:rPr>
                <w:sz w:val="18"/>
                <w:szCs w:val="18"/>
                <w:color w:val="auto"/>
              </w:rPr>
            </w:pPr>
          </w:p>
        </w:tc>
        <w:tc>
          <w:tcPr>
            <w:tcW w:w="114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average</w:t>
            </w:r>
          </w:p>
        </w:tc>
        <w:tc>
          <w:tcPr>
            <w:tcW w:w="800" w:type="dxa"/>
            <w:vAlign w:val="bottom"/>
            <w:shd w:val="clear" w:color="auto" w:fill="CCECFF"/>
          </w:tcPr>
          <w:p>
            <w:pPr>
              <w:spacing w:after="0"/>
              <w:rPr>
                <w:sz w:val="18"/>
                <w:szCs w:val="18"/>
                <w:color w:val="auto"/>
              </w:rPr>
            </w:pPr>
          </w:p>
        </w:tc>
        <w:tc>
          <w:tcPr>
            <w:tcW w:w="114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122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1180" w:type="dxa"/>
            <w:vAlign w:val="bottom"/>
            <w:shd w:val="clear" w:color="auto" w:fill="CCECFF"/>
          </w:tcPr>
          <w:p>
            <w:pPr>
              <w:spacing w:after="0"/>
              <w:rPr>
                <w:sz w:val="18"/>
                <w:szCs w:val="18"/>
                <w:color w:val="auto"/>
              </w:rPr>
            </w:pPr>
          </w:p>
        </w:tc>
        <w:tc>
          <w:tcPr>
            <w:tcW w:w="1120" w:type="dxa"/>
            <w:vAlign w:val="bottom"/>
            <w:shd w:val="clear" w:color="auto" w:fill="CCECFF"/>
          </w:tcPr>
          <w:p>
            <w:pPr>
              <w:spacing w:after="0"/>
              <w:rPr>
                <w:sz w:val="18"/>
                <w:szCs w:val="18"/>
                <w:color w:val="auto"/>
              </w:rPr>
            </w:pPr>
          </w:p>
        </w:tc>
        <w:tc>
          <w:tcPr>
            <w:tcW w:w="940" w:type="dxa"/>
            <w:vAlign w:val="bottom"/>
            <w:shd w:val="clear" w:color="auto" w:fill="CCECFF"/>
          </w:tcPr>
          <w:p>
            <w:pPr>
              <w:spacing w:after="0"/>
              <w:rPr>
                <w:sz w:val="18"/>
                <w:szCs w:val="18"/>
                <w:color w:val="auto"/>
              </w:rPr>
            </w:pPr>
          </w:p>
        </w:tc>
        <w:tc>
          <w:tcPr>
            <w:tcW w:w="760" w:type="dxa"/>
            <w:vAlign w:val="bottom"/>
            <w:shd w:val="clear" w:color="auto" w:fill="CCECFF"/>
          </w:tcPr>
          <w:p>
            <w:pPr>
              <w:spacing w:after="0"/>
              <w:rPr>
                <w:sz w:val="18"/>
                <w:szCs w:val="18"/>
                <w:color w:val="auto"/>
              </w:rPr>
            </w:pPr>
          </w:p>
        </w:tc>
        <w:tc>
          <w:tcPr>
            <w:tcW w:w="114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800" w:type="dxa"/>
            <w:vAlign w:val="bottom"/>
            <w:shd w:val="clear" w:color="auto" w:fill="CCECFF"/>
          </w:tcPr>
          <w:p>
            <w:pPr>
              <w:spacing w:after="0"/>
              <w:rPr>
                <w:sz w:val="18"/>
                <w:szCs w:val="18"/>
                <w:color w:val="auto"/>
              </w:rPr>
            </w:pPr>
          </w:p>
        </w:tc>
        <w:tc>
          <w:tcPr>
            <w:tcW w:w="114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122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1180" w:type="dxa"/>
            <w:vAlign w:val="bottom"/>
            <w:shd w:val="clear" w:color="auto" w:fill="CCECFF"/>
          </w:tcPr>
          <w:p>
            <w:pPr>
              <w:spacing w:after="0"/>
              <w:rPr>
                <w:sz w:val="18"/>
                <w:szCs w:val="18"/>
                <w:color w:val="auto"/>
              </w:rPr>
            </w:pPr>
          </w:p>
        </w:tc>
        <w:tc>
          <w:tcPr>
            <w:tcW w:w="1120" w:type="dxa"/>
            <w:vAlign w:val="bottom"/>
            <w:shd w:val="clear" w:color="auto" w:fill="CCECFF"/>
          </w:tcPr>
          <w:p>
            <w:pPr>
              <w:spacing w:after="0"/>
              <w:rPr>
                <w:sz w:val="18"/>
                <w:szCs w:val="18"/>
                <w:color w:val="auto"/>
              </w:rPr>
            </w:pPr>
          </w:p>
        </w:tc>
        <w:tc>
          <w:tcPr>
            <w:tcW w:w="940" w:type="dxa"/>
            <w:vAlign w:val="bottom"/>
            <w:shd w:val="clear" w:color="auto" w:fill="CCECFF"/>
          </w:tcPr>
          <w:p>
            <w:pPr>
              <w:spacing w:after="0"/>
              <w:rPr>
                <w:sz w:val="18"/>
                <w:szCs w:val="18"/>
                <w:color w:val="auto"/>
              </w:rPr>
            </w:pPr>
          </w:p>
        </w:tc>
        <w:tc>
          <w:tcPr>
            <w:tcW w:w="760" w:type="dxa"/>
            <w:vAlign w:val="bottom"/>
            <w:shd w:val="clear" w:color="auto" w:fill="CCECFF"/>
          </w:tcPr>
          <w:p>
            <w:pPr>
              <w:spacing w:after="0"/>
              <w:rPr>
                <w:sz w:val="18"/>
                <w:szCs w:val="18"/>
                <w:color w:val="auto"/>
              </w:rPr>
            </w:pPr>
          </w:p>
        </w:tc>
        <w:tc>
          <w:tcPr>
            <w:tcW w:w="114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outstanding</w:t>
            </w:r>
          </w:p>
        </w:tc>
        <w:tc>
          <w:tcPr>
            <w:tcW w:w="800" w:type="dxa"/>
            <w:vAlign w:val="bottom"/>
            <w:shd w:val="clear" w:color="auto" w:fill="CCECFF"/>
          </w:tcPr>
          <w:p>
            <w:pPr>
              <w:spacing w:after="0"/>
              <w:rPr>
                <w:sz w:val="20"/>
                <w:szCs w:val="20"/>
                <w:color w:val="auto"/>
              </w:rPr>
            </w:pPr>
          </w:p>
        </w:tc>
        <w:tc>
          <w:tcPr>
            <w:tcW w:w="1140" w:type="dxa"/>
            <w:vAlign w:val="bottom"/>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CFF"/>
          </w:tcPr>
          <w:p>
            <w:pPr>
              <w:spacing w:after="0"/>
              <w:rPr>
                <w:sz w:val="20"/>
                <w:szCs w:val="20"/>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134,617,157</w:t>
            </w:r>
          </w:p>
        </w:tc>
        <w:tc>
          <w:tcPr>
            <w:tcW w:w="820" w:type="dxa"/>
            <w:vAlign w:val="bottom"/>
            <w:shd w:val="clear" w:color="auto" w:fill="CCECFF"/>
          </w:tcPr>
          <w:p>
            <w:pPr>
              <w:spacing w:after="0"/>
              <w:rPr>
                <w:sz w:val="20"/>
                <w:szCs w:val="20"/>
                <w:color w:val="auto"/>
              </w:rPr>
            </w:pPr>
          </w:p>
        </w:tc>
        <w:tc>
          <w:tcPr>
            <w:tcW w:w="1180" w:type="dxa"/>
            <w:vAlign w:val="bottom"/>
            <w:shd w:val="clear" w:color="auto" w:fill="CCEC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CFF"/>
          </w:tcPr>
          <w:p>
            <w:pPr>
              <w:spacing w:after="0"/>
              <w:rPr>
                <w:sz w:val="20"/>
                <w:szCs w:val="20"/>
                <w:color w:val="auto"/>
              </w:rPr>
            </w:pPr>
          </w:p>
        </w:tc>
        <w:tc>
          <w:tcPr>
            <w:tcW w:w="94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CFF"/>
          </w:tcPr>
          <w:p>
            <w:pPr>
              <w:spacing w:after="0"/>
              <w:rPr>
                <w:sz w:val="20"/>
                <w:szCs w:val="20"/>
                <w:color w:val="auto"/>
              </w:rPr>
            </w:pPr>
          </w:p>
        </w:tc>
        <w:tc>
          <w:tcPr>
            <w:tcW w:w="114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Viskase</w:t>
            </w: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Companies, Inc.</w:t>
            </w: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w:t>
            </w: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share</w:t>
            </w:r>
          </w:p>
        </w:tc>
        <w:tc>
          <w:tcPr>
            <w:tcW w:w="8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8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80" w:type="dxa"/>
            <w:vAlign w:val="bottom"/>
            <w:shd w:val="clear" w:color="auto" w:fill="CCECFF"/>
          </w:tcPr>
          <w:p>
            <w:pPr>
              <w:spacing w:after="0" w:line="198" w:lineRule="exact"/>
              <w:rPr>
                <w:sz w:val="20"/>
                <w:szCs w:val="20"/>
                <w:color w:val="auto"/>
              </w:rPr>
            </w:pPr>
            <w:r>
              <w:rPr>
                <w:rFonts w:ascii="Times New Roman" w:cs="Times New Roman" w:eastAsia="Times New Roman" w:hAnsi="Times New Roman"/>
                <w:sz w:val="18"/>
                <w:szCs w:val="18"/>
                <w:color w:val="auto"/>
              </w:rPr>
              <w:t>Combined</w:t>
            </w:r>
          </w:p>
        </w:tc>
        <w:tc>
          <w:tcPr>
            <w:tcW w:w="800" w:type="dxa"/>
            <w:vAlign w:val="bottom"/>
            <w:shd w:val="clear" w:color="auto" w:fill="CCECFF"/>
          </w:tcPr>
          <w:p>
            <w:pPr>
              <w:spacing w:after="0"/>
              <w:rPr>
                <w:sz w:val="17"/>
                <w:szCs w:val="17"/>
                <w:color w:val="auto"/>
              </w:rPr>
            </w:pPr>
          </w:p>
        </w:tc>
        <w:tc>
          <w:tcPr>
            <w:tcW w:w="1140" w:type="dxa"/>
            <w:vAlign w:val="bottom"/>
            <w:shd w:val="clear" w:color="auto" w:fill="CCECFF"/>
          </w:tcPr>
          <w:p>
            <w:pPr>
              <w:spacing w:after="0"/>
              <w:rPr>
                <w:sz w:val="17"/>
                <w:szCs w:val="17"/>
                <w:color w:val="auto"/>
              </w:rPr>
            </w:pPr>
          </w:p>
        </w:tc>
        <w:tc>
          <w:tcPr>
            <w:tcW w:w="440" w:type="dxa"/>
            <w:vAlign w:val="bottom"/>
            <w:shd w:val="clear" w:color="auto" w:fill="CCECFF"/>
          </w:tcPr>
          <w:p>
            <w:pPr>
              <w:spacing w:after="0"/>
              <w:rPr>
                <w:sz w:val="17"/>
                <w:szCs w:val="17"/>
                <w:color w:val="auto"/>
              </w:rPr>
            </w:pPr>
          </w:p>
        </w:tc>
        <w:tc>
          <w:tcPr>
            <w:tcW w:w="1220" w:type="dxa"/>
            <w:vAlign w:val="bottom"/>
            <w:shd w:val="clear" w:color="auto" w:fill="CCECFF"/>
          </w:tcPr>
          <w:p>
            <w:pPr>
              <w:spacing w:after="0"/>
              <w:rPr>
                <w:sz w:val="17"/>
                <w:szCs w:val="17"/>
                <w:color w:val="auto"/>
              </w:rPr>
            </w:pPr>
          </w:p>
        </w:tc>
        <w:tc>
          <w:tcPr>
            <w:tcW w:w="820" w:type="dxa"/>
            <w:vAlign w:val="bottom"/>
            <w:shd w:val="clear" w:color="auto" w:fill="CCECFF"/>
          </w:tcPr>
          <w:p>
            <w:pPr>
              <w:spacing w:after="0"/>
              <w:rPr>
                <w:sz w:val="17"/>
                <w:szCs w:val="17"/>
                <w:color w:val="auto"/>
              </w:rPr>
            </w:pPr>
          </w:p>
        </w:tc>
        <w:tc>
          <w:tcPr>
            <w:tcW w:w="1180" w:type="dxa"/>
            <w:vAlign w:val="bottom"/>
            <w:shd w:val="clear" w:color="auto" w:fill="CCECFF"/>
          </w:tcPr>
          <w:p>
            <w:pPr>
              <w:spacing w:after="0"/>
              <w:rPr>
                <w:sz w:val="17"/>
                <w:szCs w:val="17"/>
                <w:color w:val="auto"/>
              </w:rPr>
            </w:pPr>
          </w:p>
        </w:tc>
        <w:tc>
          <w:tcPr>
            <w:tcW w:w="1120" w:type="dxa"/>
            <w:vAlign w:val="bottom"/>
            <w:shd w:val="clear" w:color="auto" w:fill="CCECFF"/>
          </w:tcPr>
          <w:p>
            <w:pPr>
              <w:spacing w:after="0"/>
              <w:rPr>
                <w:sz w:val="17"/>
                <w:szCs w:val="17"/>
                <w:color w:val="auto"/>
              </w:rPr>
            </w:pPr>
          </w:p>
        </w:tc>
        <w:tc>
          <w:tcPr>
            <w:tcW w:w="940" w:type="dxa"/>
            <w:vAlign w:val="bottom"/>
            <w:shd w:val="clear" w:color="auto" w:fill="CCECFF"/>
          </w:tcPr>
          <w:p>
            <w:pPr>
              <w:spacing w:after="0"/>
              <w:rPr>
                <w:sz w:val="17"/>
                <w:szCs w:val="17"/>
                <w:color w:val="auto"/>
              </w:rPr>
            </w:pPr>
          </w:p>
        </w:tc>
        <w:tc>
          <w:tcPr>
            <w:tcW w:w="760" w:type="dxa"/>
            <w:vAlign w:val="bottom"/>
            <w:shd w:val="clear" w:color="auto" w:fill="CCECFF"/>
          </w:tcPr>
          <w:p>
            <w:pPr>
              <w:spacing w:after="0"/>
              <w:rPr>
                <w:sz w:val="17"/>
                <w:szCs w:val="17"/>
                <w:color w:val="auto"/>
              </w:rPr>
            </w:pPr>
          </w:p>
        </w:tc>
        <w:tc>
          <w:tcPr>
            <w:tcW w:w="1140" w:type="dxa"/>
            <w:vAlign w:val="bottom"/>
            <w:shd w:val="clear" w:color="auto" w:fill="CCECFF"/>
          </w:tcPr>
          <w:p>
            <w:pPr>
              <w:spacing w:after="0"/>
              <w:rPr>
                <w:sz w:val="17"/>
                <w:szCs w:val="17"/>
                <w:color w:val="auto"/>
              </w:rPr>
            </w:pPr>
          </w:p>
        </w:tc>
        <w:tc>
          <w:tcPr>
            <w:tcW w:w="4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Company basic</w:t>
            </w:r>
          </w:p>
        </w:tc>
        <w:tc>
          <w:tcPr>
            <w:tcW w:w="800" w:type="dxa"/>
            <w:vAlign w:val="bottom"/>
            <w:shd w:val="clear" w:color="auto" w:fill="CCECFF"/>
          </w:tcPr>
          <w:p>
            <w:pPr>
              <w:spacing w:after="0"/>
              <w:rPr>
                <w:sz w:val="18"/>
                <w:szCs w:val="18"/>
                <w:color w:val="auto"/>
              </w:rPr>
            </w:pPr>
          </w:p>
        </w:tc>
        <w:tc>
          <w:tcPr>
            <w:tcW w:w="114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122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1180" w:type="dxa"/>
            <w:vAlign w:val="bottom"/>
            <w:shd w:val="clear" w:color="auto" w:fill="CCECFF"/>
          </w:tcPr>
          <w:p>
            <w:pPr>
              <w:spacing w:after="0"/>
              <w:rPr>
                <w:sz w:val="18"/>
                <w:szCs w:val="18"/>
                <w:color w:val="auto"/>
              </w:rPr>
            </w:pPr>
          </w:p>
        </w:tc>
        <w:tc>
          <w:tcPr>
            <w:tcW w:w="1120" w:type="dxa"/>
            <w:vAlign w:val="bottom"/>
            <w:shd w:val="clear" w:color="auto" w:fill="CCECFF"/>
          </w:tcPr>
          <w:p>
            <w:pPr>
              <w:spacing w:after="0"/>
              <w:rPr>
                <w:sz w:val="18"/>
                <w:szCs w:val="18"/>
                <w:color w:val="auto"/>
              </w:rPr>
            </w:pPr>
          </w:p>
        </w:tc>
        <w:tc>
          <w:tcPr>
            <w:tcW w:w="940" w:type="dxa"/>
            <w:vAlign w:val="bottom"/>
            <w:shd w:val="clear" w:color="auto" w:fill="CCECFF"/>
          </w:tcPr>
          <w:p>
            <w:pPr>
              <w:spacing w:after="0"/>
              <w:rPr>
                <w:sz w:val="18"/>
                <w:szCs w:val="18"/>
                <w:color w:val="auto"/>
              </w:rPr>
            </w:pPr>
          </w:p>
        </w:tc>
        <w:tc>
          <w:tcPr>
            <w:tcW w:w="760" w:type="dxa"/>
            <w:vAlign w:val="bottom"/>
            <w:shd w:val="clear" w:color="auto" w:fill="CCECFF"/>
          </w:tcPr>
          <w:p>
            <w:pPr>
              <w:spacing w:after="0"/>
              <w:rPr>
                <w:sz w:val="18"/>
                <w:szCs w:val="18"/>
                <w:color w:val="auto"/>
              </w:rPr>
            </w:pPr>
          </w:p>
        </w:tc>
        <w:tc>
          <w:tcPr>
            <w:tcW w:w="114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and diluted</w:t>
            </w:r>
          </w:p>
        </w:tc>
        <w:tc>
          <w:tcPr>
            <w:tcW w:w="800" w:type="dxa"/>
            <w:vAlign w:val="bottom"/>
            <w:shd w:val="clear" w:color="auto" w:fill="CCECFF"/>
          </w:tcPr>
          <w:p>
            <w:pPr>
              <w:spacing w:after="0"/>
              <w:rPr>
                <w:sz w:val="18"/>
                <w:szCs w:val="18"/>
                <w:color w:val="auto"/>
              </w:rPr>
            </w:pPr>
          </w:p>
        </w:tc>
        <w:tc>
          <w:tcPr>
            <w:tcW w:w="114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122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1180" w:type="dxa"/>
            <w:vAlign w:val="bottom"/>
            <w:shd w:val="clear" w:color="auto" w:fill="CCECFF"/>
          </w:tcPr>
          <w:p>
            <w:pPr>
              <w:spacing w:after="0"/>
              <w:rPr>
                <w:sz w:val="18"/>
                <w:szCs w:val="18"/>
                <w:color w:val="auto"/>
              </w:rPr>
            </w:pPr>
          </w:p>
        </w:tc>
        <w:tc>
          <w:tcPr>
            <w:tcW w:w="1120" w:type="dxa"/>
            <w:vAlign w:val="bottom"/>
            <w:shd w:val="clear" w:color="auto" w:fill="CCECFF"/>
          </w:tcPr>
          <w:p>
            <w:pPr>
              <w:spacing w:after="0"/>
              <w:rPr>
                <w:sz w:val="18"/>
                <w:szCs w:val="18"/>
                <w:color w:val="auto"/>
              </w:rPr>
            </w:pPr>
          </w:p>
        </w:tc>
        <w:tc>
          <w:tcPr>
            <w:tcW w:w="940" w:type="dxa"/>
            <w:vAlign w:val="bottom"/>
            <w:shd w:val="clear" w:color="auto" w:fill="CCECFF"/>
          </w:tcPr>
          <w:p>
            <w:pPr>
              <w:spacing w:after="0"/>
              <w:rPr>
                <w:sz w:val="18"/>
                <w:szCs w:val="18"/>
                <w:color w:val="auto"/>
              </w:rPr>
            </w:pPr>
          </w:p>
        </w:tc>
        <w:tc>
          <w:tcPr>
            <w:tcW w:w="760" w:type="dxa"/>
            <w:vAlign w:val="bottom"/>
            <w:shd w:val="clear" w:color="auto" w:fill="CCECFF"/>
          </w:tcPr>
          <w:p>
            <w:pPr>
              <w:spacing w:after="0"/>
              <w:rPr>
                <w:sz w:val="18"/>
                <w:szCs w:val="18"/>
                <w:color w:val="auto"/>
              </w:rPr>
            </w:pPr>
          </w:p>
        </w:tc>
        <w:tc>
          <w:tcPr>
            <w:tcW w:w="114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weighted</w:t>
            </w:r>
          </w:p>
        </w:tc>
        <w:tc>
          <w:tcPr>
            <w:tcW w:w="800" w:type="dxa"/>
            <w:vAlign w:val="bottom"/>
            <w:shd w:val="clear" w:color="auto" w:fill="CCECFF"/>
          </w:tcPr>
          <w:p>
            <w:pPr>
              <w:spacing w:after="0"/>
              <w:rPr>
                <w:sz w:val="18"/>
                <w:szCs w:val="18"/>
                <w:color w:val="auto"/>
              </w:rPr>
            </w:pPr>
          </w:p>
        </w:tc>
        <w:tc>
          <w:tcPr>
            <w:tcW w:w="114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122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1180" w:type="dxa"/>
            <w:vAlign w:val="bottom"/>
            <w:shd w:val="clear" w:color="auto" w:fill="CCECFF"/>
          </w:tcPr>
          <w:p>
            <w:pPr>
              <w:spacing w:after="0"/>
              <w:rPr>
                <w:sz w:val="18"/>
                <w:szCs w:val="18"/>
                <w:color w:val="auto"/>
              </w:rPr>
            </w:pPr>
          </w:p>
        </w:tc>
        <w:tc>
          <w:tcPr>
            <w:tcW w:w="1120" w:type="dxa"/>
            <w:vAlign w:val="bottom"/>
            <w:shd w:val="clear" w:color="auto" w:fill="CCECFF"/>
          </w:tcPr>
          <w:p>
            <w:pPr>
              <w:spacing w:after="0"/>
              <w:rPr>
                <w:sz w:val="18"/>
                <w:szCs w:val="18"/>
                <w:color w:val="auto"/>
              </w:rPr>
            </w:pPr>
          </w:p>
        </w:tc>
        <w:tc>
          <w:tcPr>
            <w:tcW w:w="940" w:type="dxa"/>
            <w:vAlign w:val="bottom"/>
            <w:shd w:val="clear" w:color="auto" w:fill="CCECFF"/>
          </w:tcPr>
          <w:p>
            <w:pPr>
              <w:spacing w:after="0"/>
              <w:rPr>
                <w:sz w:val="18"/>
                <w:szCs w:val="18"/>
                <w:color w:val="auto"/>
              </w:rPr>
            </w:pPr>
          </w:p>
        </w:tc>
        <w:tc>
          <w:tcPr>
            <w:tcW w:w="760" w:type="dxa"/>
            <w:vAlign w:val="bottom"/>
            <w:shd w:val="clear" w:color="auto" w:fill="CCECFF"/>
          </w:tcPr>
          <w:p>
            <w:pPr>
              <w:spacing w:after="0"/>
              <w:rPr>
                <w:sz w:val="18"/>
                <w:szCs w:val="18"/>
                <w:color w:val="auto"/>
              </w:rPr>
            </w:pPr>
          </w:p>
        </w:tc>
        <w:tc>
          <w:tcPr>
            <w:tcW w:w="114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average</w:t>
            </w:r>
          </w:p>
        </w:tc>
        <w:tc>
          <w:tcPr>
            <w:tcW w:w="800" w:type="dxa"/>
            <w:vAlign w:val="bottom"/>
            <w:shd w:val="clear" w:color="auto" w:fill="CCECFF"/>
          </w:tcPr>
          <w:p>
            <w:pPr>
              <w:spacing w:after="0"/>
              <w:rPr>
                <w:sz w:val="18"/>
                <w:szCs w:val="18"/>
                <w:color w:val="auto"/>
              </w:rPr>
            </w:pPr>
          </w:p>
        </w:tc>
        <w:tc>
          <w:tcPr>
            <w:tcW w:w="114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122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1180" w:type="dxa"/>
            <w:vAlign w:val="bottom"/>
            <w:shd w:val="clear" w:color="auto" w:fill="CCECFF"/>
          </w:tcPr>
          <w:p>
            <w:pPr>
              <w:spacing w:after="0"/>
              <w:rPr>
                <w:sz w:val="18"/>
                <w:szCs w:val="18"/>
                <w:color w:val="auto"/>
              </w:rPr>
            </w:pPr>
          </w:p>
        </w:tc>
        <w:tc>
          <w:tcPr>
            <w:tcW w:w="1120" w:type="dxa"/>
            <w:vAlign w:val="bottom"/>
            <w:shd w:val="clear" w:color="auto" w:fill="CCECFF"/>
          </w:tcPr>
          <w:p>
            <w:pPr>
              <w:spacing w:after="0"/>
              <w:rPr>
                <w:sz w:val="18"/>
                <w:szCs w:val="18"/>
                <w:color w:val="auto"/>
              </w:rPr>
            </w:pPr>
          </w:p>
        </w:tc>
        <w:tc>
          <w:tcPr>
            <w:tcW w:w="940" w:type="dxa"/>
            <w:vAlign w:val="bottom"/>
            <w:shd w:val="clear" w:color="auto" w:fill="CCECFF"/>
          </w:tcPr>
          <w:p>
            <w:pPr>
              <w:spacing w:after="0"/>
              <w:rPr>
                <w:sz w:val="18"/>
                <w:szCs w:val="18"/>
                <w:color w:val="auto"/>
              </w:rPr>
            </w:pPr>
          </w:p>
        </w:tc>
        <w:tc>
          <w:tcPr>
            <w:tcW w:w="760" w:type="dxa"/>
            <w:vAlign w:val="bottom"/>
            <w:shd w:val="clear" w:color="auto" w:fill="CCECFF"/>
          </w:tcPr>
          <w:p>
            <w:pPr>
              <w:spacing w:after="0"/>
              <w:rPr>
                <w:sz w:val="18"/>
                <w:szCs w:val="18"/>
                <w:color w:val="auto"/>
              </w:rPr>
            </w:pPr>
          </w:p>
        </w:tc>
        <w:tc>
          <w:tcPr>
            <w:tcW w:w="114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800" w:type="dxa"/>
            <w:vAlign w:val="bottom"/>
            <w:shd w:val="clear" w:color="auto" w:fill="CCECFF"/>
          </w:tcPr>
          <w:p>
            <w:pPr>
              <w:spacing w:after="0"/>
              <w:rPr>
                <w:sz w:val="18"/>
                <w:szCs w:val="18"/>
                <w:color w:val="auto"/>
              </w:rPr>
            </w:pPr>
          </w:p>
        </w:tc>
        <w:tc>
          <w:tcPr>
            <w:tcW w:w="114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122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1180" w:type="dxa"/>
            <w:vAlign w:val="bottom"/>
            <w:shd w:val="clear" w:color="auto" w:fill="CCECFF"/>
          </w:tcPr>
          <w:p>
            <w:pPr>
              <w:spacing w:after="0"/>
              <w:rPr>
                <w:sz w:val="18"/>
                <w:szCs w:val="18"/>
                <w:color w:val="auto"/>
              </w:rPr>
            </w:pPr>
          </w:p>
        </w:tc>
        <w:tc>
          <w:tcPr>
            <w:tcW w:w="1120" w:type="dxa"/>
            <w:vAlign w:val="bottom"/>
            <w:shd w:val="clear" w:color="auto" w:fill="CCECFF"/>
          </w:tcPr>
          <w:p>
            <w:pPr>
              <w:spacing w:after="0"/>
              <w:rPr>
                <w:sz w:val="18"/>
                <w:szCs w:val="18"/>
                <w:color w:val="auto"/>
              </w:rPr>
            </w:pPr>
          </w:p>
        </w:tc>
        <w:tc>
          <w:tcPr>
            <w:tcW w:w="940" w:type="dxa"/>
            <w:vAlign w:val="bottom"/>
            <w:shd w:val="clear" w:color="auto" w:fill="CCECFF"/>
          </w:tcPr>
          <w:p>
            <w:pPr>
              <w:spacing w:after="0"/>
              <w:rPr>
                <w:sz w:val="18"/>
                <w:szCs w:val="18"/>
                <w:color w:val="auto"/>
              </w:rPr>
            </w:pPr>
          </w:p>
        </w:tc>
        <w:tc>
          <w:tcPr>
            <w:tcW w:w="760" w:type="dxa"/>
            <w:vAlign w:val="bottom"/>
            <w:shd w:val="clear" w:color="auto" w:fill="CCECFF"/>
          </w:tcPr>
          <w:p>
            <w:pPr>
              <w:spacing w:after="0"/>
              <w:rPr>
                <w:sz w:val="18"/>
                <w:szCs w:val="18"/>
                <w:color w:val="auto"/>
              </w:rPr>
            </w:pPr>
          </w:p>
        </w:tc>
        <w:tc>
          <w:tcPr>
            <w:tcW w:w="1140" w:type="dxa"/>
            <w:vAlign w:val="bottom"/>
            <w:shd w:val="clear" w:color="auto" w:fill="CCECFF"/>
          </w:tcPr>
          <w:p>
            <w:pPr>
              <w:spacing w:after="0"/>
              <w:rPr>
                <w:sz w:val="18"/>
                <w:szCs w:val="18"/>
                <w:color w:val="auto"/>
              </w:rPr>
            </w:pPr>
          </w:p>
        </w:tc>
        <w:tc>
          <w:tcPr>
            <w:tcW w:w="400" w:type="dxa"/>
            <w:vAlign w:val="bottom"/>
            <w:vMerge w:val="restart"/>
            <w:shd w:val="clear" w:color="auto" w:fill="CCECFF"/>
          </w:tcPr>
          <w:p>
            <w:pPr>
              <w:ind w:left="40"/>
              <w:spacing w:after="0"/>
              <w:rPr>
                <w:sz w:val="20"/>
                <w:szCs w:val="20"/>
                <w:color w:val="auto"/>
              </w:rPr>
            </w:pPr>
            <w:r>
              <w:rPr>
                <w:rFonts w:ascii="Times New Roman" w:cs="Times New Roman" w:eastAsia="Times New Roman" w:hAnsi="Times New Roman"/>
                <w:sz w:val="18"/>
                <w:szCs w:val="18"/>
                <w:b w:val="1"/>
                <w:bCs w:val="1"/>
                <w:color w:val="auto"/>
              </w:rPr>
              <w:t>4(h)</w:t>
            </w:r>
          </w:p>
        </w:tc>
        <w:tc>
          <w:tcPr>
            <w:tcW w:w="0" w:type="dxa"/>
            <w:vAlign w:val="bottom"/>
          </w:tcPr>
          <w:p>
            <w:pPr>
              <w:spacing w:after="0"/>
              <w:rPr>
                <w:sz w:val="1"/>
                <w:szCs w:val="1"/>
                <w:color w:val="auto"/>
              </w:rPr>
            </w:pPr>
          </w:p>
        </w:tc>
      </w:tr>
      <w:tr>
        <w:trPr>
          <w:trHeight w:val="234"/>
        </w:trPr>
        <w:tc>
          <w:tcPr>
            <w:tcW w:w="12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outstanding</w:t>
            </w:r>
          </w:p>
        </w:tc>
        <w:tc>
          <w:tcPr>
            <w:tcW w:w="800" w:type="dxa"/>
            <w:vAlign w:val="bottom"/>
            <w:shd w:val="clear" w:color="auto" w:fill="CCECFF"/>
          </w:tcPr>
          <w:p>
            <w:pPr>
              <w:spacing w:after="0"/>
              <w:rPr>
                <w:sz w:val="20"/>
                <w:szCs w:val="20"/>
                <w:color w:val="auto"/>
              </w:rPr>
            </w:pPr>
          </w:p>
        </w:tc>
        <w:tc>
          <w:tcPr>
            <w:tcW w:w="1140" w:type="dxa"/>
            <w:vAlign w:val="bottom"/>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CFF"/>
          </w:tcPr>
          <w:p>
            <w:pPr>
              <w:spacing w:after="0"/>
              <w:rPr>
                <w:sz w:val="20"/>
                <w:szCs w:val="20"/>
                <w:color w:val="auto"/>
              </w:rPr>
            </w:pPr>
          </w:p>
        </w:tc>
        <w:tc>
          <w:tcPr>
            <w:tcW w:w="122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CFF"/>
          </w:tcPr>
          <w:p>
            <w:pPr>
              <w:spacing w:after="0"/>
              <w:rPr>
                <w:sz w:val="20"/>
                <w:szCs w:val="20"/>
                <w:color w:val="auto"/>
              </w:rPr>
            </w:pPr>
          </w:p>
        </w:tc>
        <w:tc>
          <w:tcPr>
            <w:tcW w:w="1180" w:type="dxa"/>
            <w:vAlign w:val="bottom"/>
            <w:shd w:val="clear" w:color="auto" w:fill="CCEC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CFF"/>
          </w:tcPr>
          <w:p>
            <w:pPr>
              <w:spacing w:after="0"/>
              <w:rPr>
                <w:sz w:val="20"/>
                <w:szCs w:val="20"/>
                <w:color w:val="auto"/>
              </w:rPr>
            </w:pPr>
          </w:p>
        </w:tc>
        <w:tc>
          <w:tcPr>
            <w:tcW w:w="940" w:type="dxa"/>
            <w:vAlign w:val="bottom"/>
            <w:shd w:val="clear" w:color="auto" w:fill="CCEC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CFF"/>
          </w:tcPr>
          <w:p>
            <w:pPr>
              <w:spacing w:after="0"/>
              <w:rPr>
                <w:sz w:val="20"/>
                <w:szCs w:val="20"/>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14,331,620</w:t>
            </w:r>
          </w:p>
        </w:tc>
        <w:tc>
          <w:tcPr>
            <w:tcW w:w="400" w:type="dxa"/>
            <w:vAlign w:val="bottom"/>
            <w:vMerge w:val="continue"/>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Combined</w:t>
            </w: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Company basic</w:t>
            </w: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and diluted net</w:t>
            </w: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4(h)</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8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4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5" w:lineRule="exact"/>
        <w:rPr>
          <w:sz w:val="20"/>
          <w:szCs w:val="20"/>
          <w:color w:val="auto"/>
        </w:rPr>
      </w:pPr>
    </w:p>
    <w:p>
      <w:pPr>
        <w:ind w:left="680" w:hanging="672"/>
        <w:spacing w:after="0"/>
        <w:tabs>
          <w:tab w:leader="none" w:pos="6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Pro Forma Presentation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was prepared in accordance with Article 11 of SEC Regulation S-X, as amended by Release No. 33-10786, “Amendments to Financial Disclosures about Acquired and Disposed Businesses”. Release No. 33-10786 replaces the historical pro forma adjustments criteria with simplified requirements to depict the accounting for the transaction (“Transaction Accounting Adjustments”) and presents the reasonably estimable synergies and other transaction effects that have occurred or are reasonably expected to occur (“Management’s Adjustments”). The Combined Company has elected not to present Management’s Adjustments and will only be presenting Transaction Accounting Adjustments in the unaudited pro forma condensed combined financial information. The adjustments presented in the unaudited pro forma condensed combined financial information have been identified and presented to provide relevant information necessary for an understanding of Enzon at the Closing inclusive of the events described above in the sections “</w:t>
      </w:r>
      <w:r>
        <w:rPr>
          <w:rFonts w:ascii="Times New Roman" w:cs="Times New Roman" w:eastAsia="Times New Roman" w:hAnsi="Times New Roman"/>
          <w:sz w:val="18"/>
          <w:szCs w:val="18"/>
          <w:i w:val="1"/>
          <w:iCs w:val="1"/>
          <w:color w:val="auto"/>
        </w:rPr>
        <w:t>Viskase Securities Purchase Agreement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Other Material Events</w:t>
      </w:r>
      <w:r>
        <w:rPr>
          <w:rFonts w:ascii="Times New Roman" w:cs="Times New Roman" w:eastAsia="Times New Roman" w:hAnsi="Times New Roman"/>
          <w:sz w:val="18"/>
          <w:szCs w:val="18"/>
          <w:color w:val="auto"/>
        </w:rPr>
        <w:t>”. The unaudited pro forma condensed combined financial information does not give effect to any anticipated synergies, operating efficiencies, tax savings, or cost savings that may be associated with the Merger. Enzon and Viskase had no historical transaction with each other prior to entering into the Merger Agreement. Accordingly, no pro forma adjustments were required to eliminate activities between the companies.</w:t>
      </w:r>
    </w:p>
    <w:p>
      <w:pPr>
        <w:spacing w:after="0" w:line="19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pro forma adjustments reflecting the Merger and the events described above in the sections “</w:t>
      </w:r>
      <w:r>
        <w:rPr>
          <w:rFonts w:ascii="Times New Roman" w:cs="Times New Roman" w:eastAsia="Times New Roman" w:hAnsi="Times New Roman"/>
          <w:sz w:val="18"/>
          <w:szCs w:val="18"/>
          <w:i w:val="1"/>
          <w:iCs w:val="1"/>
          <w:color w:val="auto"/>
        </w:rPr>
        <w:t>Viskase Securities Purchase Agreement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Material Events</w:t>
      </w:r>
      <w:r>
        <w:rPr>
          <w:rFonts w:ascii="Times New Roman" w:cs="Times New Roman" w:eastAsia="Times New Roman" w:hAnsi="Times New Roman"/>
          <w:sz w:val="18"/>
          <w:szCs w:val="18"/>
          <w:color w:val="auto"/>
        </w:rPr>
        <w:t>” are based on certain currently available information and certain assumptions and methodologies that the Combined Company believes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reasonable under the circumstances. The pro forma adjustments, which are described in the accompanying notes, may be revised as additional information becomes available and is evaluated. Therefore, it is likely that the actual adjustments will differ from the pro forma adjustments, and it is possible the differences may be material. Both Enzon and Viskase believe that the assumptions and methodologies provide a reasonable basis for presenting all the significant effects of the Merger and the events described above in the sections “</w:t>
      </w:r>
      <w:r>
        <w:rPr>
          <w:rFonts w:ascii="Times New Roman" w:cs="Times New Roman" w:eastAsia="Times New Roman" w:hAnsi="Times New Roman"/>
          <w:sz w:val="18"/>
          <w:szCs w:val="18"/>
          <w:i w:val="1"/>
          <w:iCs w:val="1"/>
          <w:color w:val="auto"/>
        </w:rPr>
        <w:t>Viskase Securities Purchase Agreement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Other Material Events</w:t>
      </w:r>
      <w:r>
        <w:rPr>
          <w:rFonts w:ascii="Times New Roman" w:cs="Times New Roman" w:eastAsia="Times New Roman" w:hAnsi="Times New Roman"/>
          <w:sz w:val="18"/>
          <w:szCs w:val="18"/>
          <w:color w:val="auto"/>
        </w:rPr>
        <w:t>” based on information available to management at this time and that the pro forma adjustments give appropriate effect to those assumptions and are properly applied in the unaudited pro forma condensed combined financial information.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Included in the shares outstanding and weighted average shares outstanding (for the calculation of pro forma basic net loss per share and diluted net loss per share) as presented in the unaudited pro forma condensed combined financial information are shares of Enzon Common Stock issued to holders of Viskase Common Stock, shares of Enzon Common Stock outstanding following the completion of the agreed upon 1-to-100 Reverse Stock Split, and shares of Enzon Common Stock issued following the completion of the IEH Share Exchange and Series C Exchange Offer.</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table directly below presents ownership based on the shares outstanding on the Closing Date of March 26, 2026 as depicted in the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tbl>
      <w:tblPr>
        <w:tblLayout w:type="fixed"/>
        <w:tblInd w:w="8" w:type="dxa"/>
        <w:tblCellMar>
          <w:top w:w="0" w:type="dxa"/>
          <w:left w:w="0" w:type="dxa"/>
          <w:bottom w:w="0" w:type="dxa"/>
          <w:right w:w="0" w:type="dxa"/>
        </w:tblCellMar>
      </w:tblPr>
      <w:tr>
        <w:trPr>
          <w:trHeight w:val="234"/>
        </w:trPr>
        <w:tc>
          <w:tcPr>
            <w:tcW w:w="804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Ownership</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held by legacy Viskase common stockholders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7,882,387</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Shares held by IEH Parties underlying Enzon Series C Preferred Stock subsequent to IEH Share Exchange</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5,658,396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held by legacy Enzon common stockholders</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742,005</w:t>
            </w:r>
            <w:r>
              <w:rPr>
                <w:rFonts w:ascii="Times New Roman" w:cs="Times New Roman" w:eastAsia="Times New Roman" w:hAnsi="Times New Roman"/>
                <w:sz w:val="14"/>
                <w:szCs w:val="14"/>
                <w:color w:val="auto"/>
              </w:rPr>
              <w:t>(1)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8"/>
        </w:trPr>
        <w:tc>
          <w:tcPr>
            <w:tcW w:w="8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held by non-IEH Parties underlying Enzon Series C Preferred Stock subsequent to Series C Exchange</w:t>
            </w: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4"/>
        </w:trPr>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Offer</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48,832</w:t>
            </w:r>
          </w:p>
        </w:tc>
        <w:tc>
          <w:tcPr>
            <w:tcW w:w="13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4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16"/>
                <w:szCs w:val="16"/>
                <w:b w:val="1"/>
                <w:bCs w:val="1"/>
                <w:color w:val="auto"/>
              </w:rPr>
              <w:t>Total shares of Combined Company Common Stock</w:t>
            </w:r>
            <w:r>
              <w:rPr>
                <w:rFonts w:ascii="Times New Roman" w:cs="Times New Roman" w:eastAsia="Times New Roman" w:hAnsi="Times New Roman"/>
                <w:sz w:val="25"/>
                <w:szCs w:val="25"/>
                <w:b w:val="1"/>
                <w:bCs w:val="1"/>
                <w:color w:val="auto"/>
                <w:vertAlign w:val="superscript"/>
              </w:rPr>
              <w:t>(2)</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14,331,620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28" w:hanging="328"/>
        <w:spacing w:after="0" w:line="257" w:lineRule="auto"/>
        <w:tabs>
          <w:tab w:leader="none" w:pos="3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742,005 shares of Enzon Common Stock issued to the current holders of Enzon Common Stock following the Reverse Stock Split. The 74,214,603 shares of Enzon Common Stock outstanding immediately prior to the Closing were adjusted using a 1-for-100 Reverse Stock Split ratio.</w:t>
      </w:r>
    </w:p>
    <w:p>
      <w:pPr>
        <w:spacing w:after="0" w:line="1" w:lineRule="exact"/>
        <w:rPr>
          <w:rFonts w:ascii="Times New Roman" w:cs="Times New Roman" w:eastAsia="Times New Roman" w:hAnsi="Times New Roman"/>
          <w:sz w:val="18"/>
          <w:szCs w:val="18"/>
          <w:color w:val="auto"/>
        </w:rPr>
      </w:pPr>
    </w:p>
    <w:p>
      <w:pPr>
        <w:jc w:val="both"/>
        <w:ind w:left="328" w:hanging="328"/>
        <w:spacing w:after="0" w:line="253" w:lineRule="auto"/>
        <w:tabs>
          <w:tab w:leader="none" w:pos="3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counts and ownership percentages presented above exclude the 384 shares of Series C Preferred Stock that were not exchanged for Enzon Common Stock in the Series C Exchange Offer and remain outstanding following the Closing Date. Pursuant to the terms of the Certificate of Designations for the Series C Preferred Stock, which continues to govern the rights of the shares of Series C Preferred Stock that remain outstanding, the holders of the Series C Preferred Stock are not entitled to voting rights and, accordingly, have been excluded from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421640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18" w:right="339" w:bottom="1440" w:gutter="0" w:footer="0" w:header="0"/>
        </w:sectPr>
      </w:pPr>
    </w:p>
    <w:bookmarkStart w:id="71" w:name="page72"/>
    <w:bookmarkEnd w:id="71"/>
    <w:p>
      <w:pPr>
        <w:ind w:left="340" w:hanging="332"/>
        <w:spacing w:after="0"/>
        <w:tabs>
          <w:tab w:leader="none" w:pos="3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Treatment for the Transaction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Notwithstanding the legal form, the Merger is accounted for as a reverse recapitalization and not a business combination under ASC 805. Under this method of accounting, Enzon is treated as the acquired company for accounting purposes, whereas Viskase is treated as the accounting acquirer. In accordance with this method of accounting, the Merger is treated as the equivalent of Viskase issuing shares for the net assets of Enzon, accompanied by a recapitalization. The net assets of Enzon are stated at historical cost, with no goodwill or other intangible assets recorded, and the operations prior to the Merger are those of Viskase. Viskase has been determined to be the accounting acquirer for purposes of the Merger based on an evaluation of the following facts and circumstances:</w:t>
      </w:r>
    </w:p>
    <w:p>
      <w:pPr>
        <w:spacing w:after="0" w:line="187" w:lineRule="exact"/>
        <w:rPr>
          <w:sz w:val="20"/>
          <w:szCs w:val="20"/>
          <w:color w:val="auto"/>
        </w:rPr>
      </w:pPr>
    </w:p>
    <w:p>
      <w:pPr>
        <w:ind w:left="660" w:hanging="328"/>
        <w:spacing w:after="0" w:line="282" w:lineRule="auto"/>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legacy Viskase stockholders hold a majority of the voting interest in the Combined Company, with 55.0% of the voting power held by legacy Viskase stockholders;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senior management of the Combined Company were members of the senior management of Viskase prior to the Closing;</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Viskase appointed a majority of the directors to the board of directors of the Combined Company pursuant to the terms of the Merger Agreement, which provided that only two directors of Enzon (Mr. Jordan Bleznick and Mr. Randolph C. Read) would continue as directors of the Combined Company;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intended strategy of the Combined Company is to focus on Viskase’s core service offerings.</w:t>
      </w:r>
    </w:p>
    <w:p>
      <w:pPr>
        <w:spacing w:after="0" w:line="2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the Unaudited Pro Forma Condensed Combined Balance Sheet as of December 31,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 forma notes and adjustments are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Adjustments for Viskase Securities Purchase Agreement:</w:t>
      </w:r>
    </w:p>
    <w:p>
      <w:pPr>
        <w:spacing w:after="0" w:line="229" w:lineRule="exact"/>
        <w:rPr>
          <w:sz w:val="20"/>
          <w:szCs w:val="20"/>
          <w:color w:val="auto"/>
        </w:rPr>
      </w:pPr>
    </w:p>
    <w:p>
      <w:pPr>
        <w:jc w:val="both"/>
        <w:ind w:left="980" w:hanging="648"/>
        <w:spacing w:after="0" w:line="26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issuance of 25,862,069 shares of Viskase Common Stock at $0.58 per share for gross cash proceeds of approximately $15.0 million pursuant to a securities purchase agreement entered into in January 2026. No issuance costs were incurred in this offering of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Adjustments for Other Material Events:</w:t>
      </w:r>
    </w:p>
    <w:p>
      <w:pPr>
        <w:spacing w:after="0" w:line="229" w:lineRule="exact"/>
        <w:rPr>
          <w:sz w:val="20"/>
          <w:szCs w:val="20"/>
          <w:color w:val="auto"/>
        </w:rPr>
      </w:pPr>
    </w:p>
    <w:p>
      <w:pPr>
        <w:ind w:left="980" w:hanging="648"/>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actual interest and dividend income on Enzon’s invested cash and cash equivalents from January 1, 2026 through the Closing Date of March 26, 2026.</w:t>
      </w:r>
    </w:p>
    <w:p>
      <w:pPr>
        <w:spacing w:after="0" w:line="16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actual cash disbursements for Enzon’s general and administrative costs from January 1, 2026 through the Closing Date of March 26, 2026. This entry includes the payment of accrued expenses of $41 thousand accrued within the historical Enzon balance sheet as of December 31, 2025.</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as a result of the Plant Closure, $0.2 million in remaining accrued restructuring costs paid from December 31, 2025 through the Closing Date. This results in a $0.2 million decrease to accrued liabilities for remaining restructuring expenses accrued as of December 31, 2025 on the Viskase historical balance sheet and a reduction in cash and cash equivalents of $0.2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Other Transaction Accounting Adjustments:</w:t>
      </w:r>
    </w:p>
    <w:p>
      <w:pPr>
        <w:spacing w:after="0" w:line="229" w:lineRule="exact"/>
        <w:rPr>
          <w:sz w:val="20"/>
          <w:szCs w:val="20"/>
          <w:color w:val="auto"/>
        </w:rPr>
      </w:pPr>
    </w:p>
    <w:p>
      <w:pPr>
        <w:jc w:val="both"/>
        <w:ind w:left="980" w:hanging="648"/>
        <w:spacing w:after="0" w:line="254"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 transaction costs incurred and expensed by Enzon subsequent to December 31, 2025 through the Closing Date in the amount of $1.2 million, of which $0.2 million remained unpaid as of the Closing Date and are reflected as an increase to accounts payable, (ii) payment of $1.3 million of Enzon transaction costs on or prior to the Closing Date, which includes $1.0 million in transaction costs incurred subsequent to December 31, 2025 and paid on or prior to the Closing Date, and (iii) payment of $0.3 million of transaction costs that were incurred prior to December 31, 2025 that were recorded in accrued liabilities in the historical Enzon balance sheet. The $1.2 million of transaction costs incurred subsequent to December 31, 2025 are not deemed specific incremental costs directly attributable to the offering of securities associated with the Closing, as such, these costs of $1.2 million are recorded as an increase to accumulated deficit on the unaudited pro forma condensed combined balance sheet as of December 31, 2025.</w:t>
      </w:r>
    </w:p>
    <w:p>
      <w:pPr>
        <w:spacing w:after="0" w:line="191" w:lineRule="exact"/>
        <w:rPr>
          <w:rFonts w:ascii="Times New Roman" w:cs="Times New Roman" w:eastAsia="Times New Roman" w:hAnsi="Times New Roman"/>
          <w:sz w:val="18"/>
          <w:szCs w:val="18"/>
          <w:color w:val="auto"/>
        </w:rPr>
      </w:pPr>
    </w:p>
    <w:p>
      <w:pPr>
        <w:jc w:val="both"/>
        <w:ind w:left="980" w:hanging="648"/>
        <w:spacing w:after="0" w:line="255"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 transaction costs incurred and expensed by Viskase subsequent to December 31, 2025 through the Closing date in the amount of $0.2 million, of which $0.2 million remained unpaid as of the Closing Date and are reflected as an increase to accounts payable, (ii) payment of $0.6 million of Viskase transaction costs on or prior to the Closing Date, which includes $0.5 million that were incurred prior to December 31, 2025 that were recorded in accounts payable in the historical Viskase balance sheet and $0.1 million that were incurred prior to December 31, 2025 that were recorded in accrued liabilities in the historical Viskase balance sheet. The $0.2 million of transaction costs incurred subsequent to December 31, 2025 but prior to the Closing are not deemed specific incremental costs directly attributable to the offering of securities and have been recorded as an increase to accumulated deficit.</w:t>
      </w:r>
    </w:p>
    <w:p>
      <w:pPr>
        <w:spacing w:after="0" w:line="188" w:lineRule="exact"/>
        <w:rPr>
          <w:rFonts w:ascii="Times New Roman" w:cs="Times New Roman" w:eastAsia="Times New Roman" w:hAnsi="Times New Roman"/>
          <w:sz w:val="18"/>
          <w:szCs w:val="18"/>
          <w:color w:val="auto"/>
        </w:rPr>
      </w:pPr>
    </w:p>
    <w:p>
      <w:pPr>
        <w:jc w:val="both"/>
        <w:ind w:left="980" w:hanging="648"/>
        <w:spacing w:after="0" w:line="258"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reclassification of shares of Enzon Common Stock that were issued and outstanding immediately prior to the Effective Time of the Merger following the Reverse Stock Split. These, shares, originally presented within the line item Enzon Common Stock, $0.01 par value are reclassified to the line item Combined Company Common Stock, $0.01 par value on the face of the pro forma unaudited condensed combined balance sheet. This reclassification is made as Enzon is referred to as the Combined Company following the Effective Time of the Merger.</w:t>
      </w:r>
    </w:p>
    <w:p>
      <w:pPr>
        <w:spacing w:after="0" w:line="183" w:lineRule="exact"/>
        <w:rPr>
          <w:rFonts w:ascii="Times New Roman" w:cs="Times New Roman" w:eastAsia="Times New Roman" w:hAnsi="Times New Roman"/>
          <w:sz w:val="18"/>
          <w:szCs w:val="18"/>
          <w:color w:val="auto"/>
        </w:rPr>
      </w:pPr>
    </w:p>
    <w:p>
      <w:pPr>
        <w:jc w:val="both"/>
        <w:ind w:left="9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1-for-100 Reverse Stock Split (see Note 3(f)), 742,005 shares of Enzon Common Stock were outstanding immediately prior to the Closing Date and were presented within the Enzon Common Stock, $0.01 par value line item (74,214,603 issued and outstanding shares of Enzon Common Stock divided by 100 results in 742,005 shares, following any adjustments for fractional shares) are reclassified to the line item Combined Company Common Stock, $0.01 par value. In addition, 5,707,228 shares of Enzon Common Stock issued in connection with the IEH Share Exchange and Series C Exchange Offer (see Note 3(i)) and presented within the Enzon Common Stock, $0.01 par value line item are similarly reclassified to the line item Combined Company Common Stock, $0.01 par value.</w:t>
      </w:r>
    </w:p>
    <w:p>
      <w:pPr>
        <w:spacing w:after="0" w:line="187"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adjustment 3(c) and adjustment 3(j), the unaudited pro forma condensed combined balance sheet reflects $0.1 million in Combined Company Common Stock, $0.01 par value.</w:t>
      </w:r>
    </w:p>
    <w:p>
      <w:pPr>
        <w:spacing w:after="0" w:line="161" w:lineRule="exact"/>
        <w:rPr>
          <w:rFonts w:ascii="Times New Roman" w:cs="Times New Roman" w:eastAsia="Times New Roman" w:hAnsi="Times New Roman"/>
          <w:sz w:val="18"/>
          <w:szCs w:val="18"/>
          <w:color w:val="auto"/>
        </w:rPr>
      </w:pPr>
    </w:p>
    <w:p>
      <w:pPr>
        <w:jc w:val="both"/>
        <w:ind w:left="980" w:hanging="648"/>
        <w:spacing w:after="0" w:line="258"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Viskase’s repayment of $11.3 million of debt upon Closing. Enzon’s cash and cash equivalents was used to repay the aforementioned amount. Further, to reflect the loss on extinguishment of debt of $0.1 million under ASC 470, calculated as the excess of the cash paid on extinguishment of $11.3 million over the net carrying amount of the debt being repaid. The net carrying amount of $11.2 million is calculated as principal of $11.3 million, adjusted for the unamortized deferred financing costs associated with the debt of $0.1 million. The reacquisition price is the amount paid upon extinguishment of $11.3 million.</w:t>
      </w:r>
    </w:p>
    <w:p>
      <w:pPr>
        <w:spacing w:after="0" w:line="18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payment on the Closing Date of the $0.4 million premium for Enzon’s directors’ and officers’ tail insurance policy.</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54"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1-for-100 Reverse Stock Split. After giving effect to the 1-for-100 Reverse Stock Split, 74,214,603 shares of Enzon Common Stock that were issued and outstanding were reduced to 742,005 shares, with any fractional shares being cashed out. As the Reverse Stock Split was effected without a change in the par value per share, Enzon Common Stock, $0.01 par value was reduced by $0.7 million. This amount reflects (i) a decrease of $0.7 million in Enzon Common Stock, $0.01 par value to remove the par value associated with the 74,214,603 shares outstanding prior to the Reverse Stock Split, offset by (ii) an increase of $7 thousand in Enzon Common Stock, $0.01 par value to record the par value of the 742,005 shares of Enzon Common Stock following the Reverse Stock Split. The resulting net reduction of $0.7 million in Enzon Common Stock, $0.01 par value and net increase of $0.7 million in additional paid-in-capital reflects the impact of the $0.7 million reduction to Enzon Common Stock, $0.01 par value, in the 1-for-100 Reverse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3" w:name="page74"/>
    <w:bookmarkEnd w:id="73"/>
    <w:p>
      <w:pPr>
        <w:jc w:val="both"/>
        <w:ind w:left="648" w:hanging="648"/>
        <w:spacing w:after="0" w:line="266" w:lineRule="auto"/>
        <w:tabs>
          <w:tab w:leader="none" w:pos="6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prorated 5% increase in the aggregate Liquidation Preference (see Note 3(i)) of the Enzon Series C Preferred Stock from January 1, 2026 through the Closing Date on March 26, 2026, which provides for a 5% annual increase in Liquidation Preference, prorated for partial years, when a cash dividend is not paid.</w:t>
      </w:r>
    </w:p>
    <w:p>
      <w:pPr>
        <w:spacing w:after="0" w:line="175" w:lineRule="exact"/>
        <w:rPr>
          <w:rFonts w:ascii="Times New Roman" w:cs="Times New Roman" w:eastAsia="Times New Roman" w:hAnsi="Times New Roman"/>
          <w:sz w:val="18"/>
          <w:szCs w:val="18"/>
          <w:color w:val="auto"/>
        </w:rPr>
      </w:pPr>
    </w:p>
    <w:p>
      <w:pPr>
        <w:jc w:val="both"/>
        <w:ind w:left="648" w:hanging="648"/>
        <w:spacing w:after="0" w:line="266" w:lineRule="auto"/>
        <w:tabs>
          <w:tab w:leader="none" w:pos="6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recapitalization of Viskase through the exchange of 160,479,226 shares of Viskase Common Stock for the right to receive 7,882,387 shares of Enzon Common Stock, based on the Exchange Ratio calculation of 0.049118. Further to reflect the elimination of Enzon’s historical accumulated deficit and Viskase’s treasury stock as part of the recapitalization.</w:t>
      </w:r>
    </w:p>
    <w:p>
      <w:pPr>
        <w:sectPr>
          <w:pgSz w:w="11900" w:h="16838" w:orient="portrait"/>
          <w:cols w:equalWidth="0" w:num="1">
            <w:col w:w="10908"/>
          </w:cols>
          <w:pgMar w:left="652" w:top="904" w:right="339" w:bottom="1440" w:gutter="0" w:footer="0" w:header="0"/>
        </w:sectPr>
      </w:pPr>
    </w:p>
    <w:p>
      <w:pPr>
        <w:spacing w:after="0" w:line="176"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The reverse recapitalization adjustment is determined as follows (in thousands):</w:t>
      </w:r>
    </w:p>
    <w:p>
      <w:pPr>
        <w:spacing w:after="0" w:line="225"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Derecognition of Viskase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-119380</wp:posOffset>
            </wp:positionV>
            <wp:extent cx="6489065"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6489065" cy="137160"/>
                    </a:xfrm>
                    <a:prstGeom prst="rect">
                      <a:avLst/>
                    </a:prstGeom>
                    <a:noFill/>
                  </pic:spPr>
                </pic:pic>
              </a:graphicData>
            </a:graphic>
          </wp:anchor>
        </w:drawing>
      </w:r>
    </w:p>
    <w:p>
      <w:pPr>
        <w:spacing w:after="0" w:line="7"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Derecognition of Viskase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5715</wp:posOffset>
            </wp:positionV>
            <wp:extent cx="6489065"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6489065" cy="163195"/>
                    </a:xfrm>
                    <a:prstGeom prst="rect">
                      <a:avLst/>
                    </a:prstGeom>
                    <a:noFill/>
                  </pic:spPr>
                </pic:pic>
              </a:graphicData>
            </a:graphic>
          </wp:anchor>
        </w:drawing>
      </w:r>
    </w:p>
    <w:p>
      <w:pPr>
        <w:ind w:left="648"/>
        <w:spacing w:after="0" w:line="192" w:lineRule="auto"/>
        <w:rPr>
          <w:sz w:val="20"/>
          <w:szCs w:val="20"/>
          <w:color w:val="auto"/>
        </w:rPr>
      </w:pPr>
      <w:r>
        <w:rPr>
          <w:rFonts w:ascii="Times New Roman" w:cs="Times New Roman" w:eastAsia="Times New Roman" w:hAnsi="Times New Roman"/>
          <w:sz w:val="18"/>
          <w:szCs w:val="18"/>
          <w:color w:val="auto"/>
        </w:rPr>
        <w:t>Derecognition of Enzon's accumulated deficit</w:t>
      </w:r>
      <w:r>
        <w:rPr>
          <w:rFonts w:ascii="Times New Roman" w:cs="Times New Roman" w:eastAsia="Times New Roman" w:hAnsi="Times New Roman"/>
          <w:sz w:val="29"/>
          <w:szCs w:val="29"/>
          <w:color w:val="auto"/>
          <w:vertAlign w:val="superscript"/>
        </w:rPr>
        <w:t>(1)</w:t>
      </w:r>
    </w:p>
    <w:p>
      <w:pPr>
        <w:ind w:left="648"/>
        <w:spacing w:after="0" w:line="249" w:lineRule="auto"/>
        <w:rPr>
          <w:sz w:val="20"/>
          <w:szCs w:val="20"/>
          <w:color w:val="auto"/>
        </w:rPr>
      </w:pPr>
      <w:r>
        <w:rPr>
          <w:rFonts w:ascii="Times New Roman" w:cs="Times New Roman" w:eastAsia="Times New Roman" w:hAnsi="Times New Roman"/>
          <w:sz w:val="18"/>
          <w:szCs w:val="18"/>
          <w:color w:val="auto"/>
        </w:rPr>
        <w:t>Issuance of Merger Consideration through the issuance of Combined Company Common Stock in accordance with the Exchange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635</wp:posOffset>
            </wp:positionV>
            <wp:extent cx="6489065" cy="274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6489065" cy="274320"/>
                    </a:xfrm>
                    <a:prstGeom prst="rect">
                      <a:avLst/>
                    </a:prstGeom>
                    <a:noFill/>
                  </pic:spPr>
                </pic:pic>
              </a:graphicData>
            </a:graphic>
          </wp:anchor>
        </w:drawing>
      </w:r>
    </w:p>
    <w:p>
      <w:pPr>
        <w:ind w:left="648"/>
        <w:spacing w:after="0" w:line="260" w:lineRule="auto"/>
        <w:rPr>
          <w:sz w:val="20"/>
          <w:szCs w:val="20"/>
          <w:color w:val="auto"/>
        </w:rPr>
      </w:pPr>
      <w:r>
        <w:rPr>
          <w:rFonts w:ascii="Times New Roman" w:cs="Times New Roman" w:eastAsia="Times New Roman" w:hAnsi="Times New Roman"/>
          <w:sz w:val="18"/>
          <w:szCs w:val="18"/>
          <w:color w:val="auto"/>
        </w:rPr>
        <w:t>Net reduction of additional paid-in capital due to derecognition of Enzon's accumulated deficit and Viskase's historical equity and issuance of Combined Company Common Stock</w:t>
      </w:r>
    </w:p>
    <w:p>
      <w:pPr>
        <w:spacing w:after="0" w:line="18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(1) The derecognition of Enzon’s accumulated deficit of $74.9 million is determined as follows (in thousands):</w:t>
      </w:r>
    </w:p>
    <w:p>
      <w:pPr>
        <w:spacing w:after="0" w:line="225"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8"/>
          <w:szCs w:val="18"/>
          <w:color w:val="auto"/>
        </w:rPr>
        <w:t>Historical accumulated deficit of Enzon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-119380</wp:posOffset>
            </wp:positionV>
            <wp:extent cx="6489065"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6489065" cy="137160"/>
                    </a:xfrm>
                    <a:prstGeom prst="rect">
                      <a:avLst/>
                    </a:prstGeom>
                    <a:noFill/>
                  </pic:spPr>
                </pic:pic>
              </a:graphicData>
            </a:graphic>
          </wp:anchor>
        </w:drawing>
      </w:r>
    </w:p>
    <w:p>
      <w:pPr>
        <w:spacing w:after="0" w:line="7"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8"/>
          <w:szCs w:val="18"/>
          <w:color w:val="auto"/>
        </w:rPr>
        <w:t>Estimated transaction costs of Enzon through the estimated Closing Date, see 3(a) and 3(e)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5715</wp:posOffset>
            </wp:positionV>
            <wp:extent cx="6489065"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6489065" cy="137160"/>
                    </a:xfrm>
                    <a:prstGeom prst="rect">
                      <a:avLst/>
                    </a:prstGeom>
                    <a:noFill/>
                  </pic:spPr>
                </pic:pic>
              </a:graphicData>
            </a:graphic>
          </wp:anchor>
        </w:drawing>
      </w:r>
    </w:p>
    <w:p>
      <w:pPr>
        <w:ind w:left="748"/>
        <w:spacing w:after="0"/>
        <w:rPr>
          <w:sz w:val="20"/>
          <w:szCs w:val="20"/>
          <w:color w:val="auto"/>
        </w:rPr>
      </w:pPr>
      <w:r>
        <w:rPr>
          <w:rFonts w:ascii="Times New Roman" w:cs="Times New Roman" w:eastAsia="Times New Roman" w:hAnsi="Times New Roman"/>
          <w:sz w:val="18"/>
          <w:szCs w:val="18"/>
          <w:color w:val="auto"/>
        </w:rPr>
        <w:t>Interest and dividend income to be earned from December 31, 2025 through the Closing 3(aa)</w:t>
      </w:r>
    </w:p>
    <w:p>
      <w:pPr>
        <w:spacing w:after="0" w:line="9"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8"/>
          <w:szCs w:val="18"/>
          <w:color w:val="auto"/>
        </w:rPr>
        <w:t>Estimated general and administration expenses from December 31, 2025 through the Closing 3(bb)</w:t>
      </w:r>
    </w:p>
    <w:p>
      <w:pPr>
        <w:spacing w:after="0" w:line="9"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8"/>
          <w:szCs w:val="18"/>
          <w:color w:val="auto"/>
        </w:rPr>
        <w:t>Total adjustment to derecognize Enzon's 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-121920</wp:posOffset>
            </wp:positionV>
            <wp:extent cx="6489065"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648906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656" w:hanging="656"/>
        <w:spacing w:after="0"/>
        <w:tabs>
          <w:tab w:leader="none" w:pos="65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(1,605)</w:t>
      </w:r>
    </w:p>
    <w:p>
      <w:pPr>
        <w:spacing w:after="0" w:line="39" w:lineRule="exact"/>
        <w:rPr>
          <w:sz w:val="20"/>
          <w:szCs w:val="20"/>
          <w:color w:val="auto"/>
        </w:rPr>
      </w:pPr>
    </w:p>
    <w:p>
      <w:pPr>
        <w:ind w:left="856" w:hanging="856"/>
        <w:spacing w:after="0"/>
        <w:tabs>
          <w:tab w:leader="none" w:pos="85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298</w:t>
      </w:r>
    </w:p>
    <w:p>
      <w:pPr>
        <w:spacing w:after="0" w:line="31" w:lineRule="exact"/>
        <w:rPr>
          <w:sz w:val="20"/>
          <w:szCs w:val="20"/>
          <w:color w:val="auto"/>
        </w:rPr>
      </w:pPr>
    </w:p>
    <w:p>
      <w:pPr>
        <w:ind w:left="636" w:hanging="636"/>
        <w:spacing w:after="0"/>
        <w:tabs>
          <w:tab w:leader="none" w:pos="6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74,890</w:t>
      </w:r>
    </w:p>
    <w:p>
      <w:pPr>
        <w:spacing w:after="0" w:line="225" w:lineRule="exact"/>
        <w:rPr>
          <w:sz w:val="20"/>
          <w:szCs w:val="20"/>
          <w:color w:val="auto"/>
        </w:rPr>
      </w:pPr>
    </w:p>
    <w:p>
      <w:pPr>
        <w:ind w:left="936" w:hanging="936"/>
        <w:spacing w:after="0"/>
        <w:tabs>
          <w:tab w:leader="none" w:pos="9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w:t>
      </w:r>
    </w:p>
    <w:p>
      <w:pPr>
        <w:spacing w:after="0" w:line="225" w:lineRule="exact"/>
        <w:rPr>
          <w:sz w:val="20"/>
          <w:szCs w:val="20"/>
          <w:color w:val="auto"/>
        </w:rPr>
      </w:pPr>
    </w:p>
    <w:p>
      <w:pPr>
        <w:ind w:left="576" w:hanging="576"/>
        <w:spacing w:after="0"/>
        <w:tabs>
          <w:tab w:leader="none" w:pos="57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(73,662)</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76" w:hanging="576"/>
        <w:spacing w:after="0"/>
        <w:tabs>
          <w:tab w:leader="none" w:pos="57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(73,301)</w:t>
      </w:r>
    </w:p>
    <w:p>
      <w:pPr>
        <w:spacing w:after="0" w:line="39" w:lineRule="exact"/>
        <w:rPr>
          <w:sz w:val="20"/>
          <w:szCs w:val="20"/>
          <w:color w:val="auto"/>
        </w:rPr>
      </w:pPr>
    </w:p>
    <w:p>
      <w:pPr>
        <w:ind w:left="656" w:hanging="656"/>
        <w:spacing w:after="0"/>
        <w:tabs>
          <w:tab w:leader="none" w:pos="65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(1,600)</w:t>
      </w:r>
    </w:p>
    <w:p>
      <w:pPr>
        <w:spacing w:after="0" w:line="21" w:lineRule="exact"/>
        <w:rPr>
          <w:sz w:val="20"/>
          <w:szCs w:val="20"/>
          <w:color w:val="auto"/>
        </w:rPr>
      </w:pPr>
    </w:p>
    <w:p>
      <w:pPr>
        <w:ind w:left="856" w:hanging="856"/>
        <w:spacing w:after="0"/>
        <w:tabs>
          <w:tab w:leader="none" w:pos="85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362</w:t>
      </w:r>
    </w:p>
    <w:p>
      <w:pPr>
        <w:spacing w:after="0" w:line="9" w:lineRule="exact"/>
        <w:rPr>
          <w:rFonts w:ascii="Times New Roman" w:cs="Times New Roman" w:eastAsia="Times New Roman" w:hAnsi="Times New Roman"/>
          <w:sz w:val="18"/>
          <w:szCs w:val="18"/>
          <w:color w:val="auto"/>
        </w:rPr>
      </w:pPr>
    </w:p>
    <w:p>
      <w:pPr>
        <w:ind w:left="796" w:hanging="796"/>
        <w:spacing w:after="0"/>
        <w:tabs>
          <w:tab w:leader="none" w:pos="79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(351)</w:t>
      </w:r>
    </w:p>
    <w:p>
      <w:pPr>
        <w:spacing w:after="0" w:line="34" w:lineRule="exact"/>
        <w:rPr>
          <w:rFonts w:ascii="Times New Roman" w:cs="Times New Roman" w:eastAsia="Times New Roman" w:hAnsi="Times New Roman"/>
          <w:sz w:val="17"/>
          <w:szCs w:val="17"/>
          <w:color w:val="auto"/>
        </w:rPr>
      </w:pPr>
    </w:p>
    <w:p>
      <w:pPr>
        <w:ind w:left="576" w:hanging="576"/>
        <w:spacing w:after="0"/>
        <w:tabs>
          <w:tab w:leader="none" w:pos="57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(74,890)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711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118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88" w:space="464"/>
            <w:col w:w="1256"/>
          </w:cols>
          <w:pgMar w:left="652" w:top="904" w:right="339" w:bottom="1440" w:gutter="0" w:footer="0" w:header="0"/>
          <w:type w:val="continuous"/>
        </w:sectPr>
      </w:pPr>
    </w:p>
    <w:p>
      <w:pPr>
        <w:spacing w:after="0" w:line="86" w:lineRule="exact"/>
        <w:rPr>
          <w:sz w:val="20"/>
          <w:szCs w:val="20"/>
          <w:color w:val="auto"/>
        </w:rPr>
      </w:pPr>
    </w:p>
    <w:p>
      <w:pPr>
        <w:ind w:left="648" w:hanging="648"/>
        <w:spacing w:after="0" w:line="282" w:lineRule="auto"/>
        <w:tabs>
          <w:tab w:leader="none" w:pos="64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exchange of Series C Preferred Stock for Enzon Common Stock through the (1) IEH Share Exchange and (2) Series C Exchange Offer.</w:t>
      </w:r>
    </w:p>
    <w:p>
      <w:pPr>
        <w:spacing w:after="0" w:line="161" w:lineRule="exact"/>
        <w:rPr>
          <w:rFonts w:ascii="Times New Roman" w:cs="Times New Roman" w:eastAsia="Times New Roman" w:hAnsi="Times New Roman"/>
          <w:sz w:val="18"/>
          <w:szCs w:val="18"/>
          <w:color w:val="auto"/>
        </w:rPr>
      </w:pPr>
    </w:p>
    <w:p>
      <w:pPr>
        <w:jc w:val="both"/>
        <w:ind w:left="968" w:hanging="320"/>
        <w:spacing w:after="0" w:line="255" w:lineRule="auto"/>
        <w:tabs>
          <w:tab w:leader="none" w:pos="96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Enzon Common Stock issued to IEH Parties in the IEH Share Exchange was determined as (A) the $44.3 million aggregate Liquidation Preference of the shares of Enzon Series C Preferred Stock beneficially owned by such IEH Party on the Closing Date divided by (B) the volume-weighted average price of Enzon Common Stock for the last 20 trading days prior to and including October 24, 2025 of $7.83, adjusted from $0.08 per share to take into account the Reverse Stock Split of 1-for-100. This resulted in the exchange of 39,277 shares of Enzon Series C Preferred Stock for 5,658,396 shares of Enzon Common Stock. This exchange results in a reduction of $44.3 million to Enzon Series C Preferred Stock, $0.01 par value, an increase of $0.1 million to Enzon Common Stock, $0.01 par value, and an increase of $44.2 million to additional paid-in capital.</w:t>
      </w:r>
    </w:p>
    <w:p>
      <w:pPr>
        <w:spacing w:after="0" w:line="188" w:lineRule="exact"/>
        <w:rPr>
          <w:rFonts w:ascii="Times New Roman" w:cs="Times New Roman" w:eastAsia="Times New Roman" w:hAnsi="Times New Roman"/>
          <w:sz w:val="18"/>
          <w:szCs w:val="18"/>
          <w:color w:val="auto"/>
        </w:rPr>
      </w:pPr>
    </w:p>
    <w:p>
      <w:pPr>
        <w:jc w:val="both"/>
        <w:ind w:left="968" w:hanging="320"/>
        <w:spacing w:after="0" w:line="254" w:lineRule="auto"/>
        <w:tabs>
          <w:tab w:leader="none" w:pos="96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Holders of 339 of the 723 shares of Series C Preferred Stock held by non-IEH parties immediately prior to the Series C Exchange Offer, elected to exchange their shares for shares of Enzon Common Stock. The number of shares of Enzon Common Stock issued to non-IEH Parties in the Series C Exchange Offer who elected to exchange was determined as (A) the $0.4 million aggregate Liquidation Preference of each share of Enzon Series C Preferred Stock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(B) the volume-weighted average price of Enzon Common Stock for the last 20 trading days prior to and including October 24, 2025 of $7.83, adjusted from $0.08 per share to take into account the Reverse Stock Split of 1-for-100. This resulted in the exchange of 723 shares of Enzon Series C Preferred Stock for 48,832 shares of Enzon Common Stock. This exchange results in a reduction of $0.4 million to Enzon Series C Preferred Stock, $0.01 par value, an increase of $1 thousand to Enzon Common Stock, $0.01 par value, and an increase of $0.4 million to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424815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type w:val="continuous"/>
        </w:sectPr>
      </w:pPr>
    </w:p>
    <w:bookmarkStart w:id="74" w:name="page75"/>
    <w:bookmarkEnd w:id="74"/>
    <w:p>
      <w:pPr>
        <w:ind w:left="340" w:hanging="332"/>
        <w:spacing w:after="0"/>
        <w:tabs>
          <w:tab w:leader="none" w:pos="3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Unaudited Pro Forma Condensed Combined Statement of Operations for the Year Ended December 31, 2025</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 forma notes and adjustments are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Adjustments for Other Material Events:</w:t>
      </w:r>
    </w:p>
    <w:p>
      <w:pPr>
        <w:spacing w:after="0" w:line="229" w:lineRule="exact"/>
        <w:rPr>
          <w:sz w:val="20"/>
          <w:szCs w:val="20"/>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Enzon general and administrative costs from January 1, 2026 through the Closing (see Note 3(bb)).</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Transaction Accounting Adjustments:</w:t>
      </w:r>
    </w:p>
    <w:p>
      <w:pPr>
        <w:spacing w:after="0" w:line="229" w:lineRule="exact"/>
        <w:rPr>
          <w:sz w:val="20"/>
          <w:szCs w:val="20"/>
          <w:color w:val="auto"/>
        </w:rPr>
      </w:pPr>
    </w:p>
    <w:p>
      <w:pPr>
        <w:jc w:val="both"/>
        <w:ind w:left="660" w:hanging="328"/>
        <w:spacing w:after="0" w:line="258"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removal of historical interest and dividend income attributable to Enzon’s invested cash and cash equivalents. The remaining Enzon cash and cash equivalents at Closing was transferred to Viskase’s operating account. For the purposes of making adjustments to the unaudited pro forma condensed combined statement of operations, any adjustments that were made to the unaudited pro forma condensed combined balance sheet were assumed to have been made on January 1, 2025. As the Closing was assumed to occur on January 1, 2025, no interest and dividend income was earned for pro forma purposes for the year ended December 31, 2025. This is a non-recurring item.</w:t>
      </w:r>
    </w:p>
    <w:p>
      <w:pPr>
        <w:spacing w:after="0" w:line="18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transaction costs of Enzon for certain accounting, auditing and other professional fees incurred in connection with the Merger that are not deemed directly attributable to the offering of securities. This is a non-recurring item.</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removal of historical dividends on Enzon Series C Preferred Stock that were exchanged in the IEH Share Exchange and Series C Exchange Offer as it is assumed these shares of Enzon Series C Preferred Stock were exchanged for Enzon Common Stock on January 1, 2025 for purposes of adjusting the unaudited pro forma condensed combined statement of operations. This is a non-recurring item.</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expense recognized for the directors’ and officers’ tail insurance policy recorded in Note 3(e).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reversal of historical interest expense and amortization of deferred financing costs for the year ended December 31, 2025 resulting from the repayment of certain Viskase debt obligations on the Closing. Additionally, to account for the loss on extinguishment of debt recognized in connection with this repayment. See Note 3(d) for further information. This is a non-recurring item.</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transaction costs of Viskase for certain professional fees incurred in connection with the Merger that are not deemed directly attributable to the offering of securities. This is a non-recurring item.</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an adjustment to income taxes as a result of the tax impact of certain pro forma adjustments using the effective tax rate for the Combined Company for the year ended December 31, 2025.</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basic and diluted net loss per share attributable to controlling interests for the year ended December 31, 2025, presented in the unaudited pro forma condensed combined statement of operations are based upon the number of shares of Enzon Common Stock that would be outstanding at Closing, assuming the Closing occurred on January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5" w:name="page76"/>
    <w:bookmarkEnd w:id="75"/>
    <w:p>
      <w:pPr>
        <w:ind w:left="660" w:right="20"/>
        <w:spacing w:after="0" w:line="282" w:lineRule="auto"/>
        <w:rPr>
          <w:sz w:val="20"/>
          <w:szCs w:val="20"/>
          <w:color w:val="auto"/>
        </w:rPr>
      </w:pPr>
      <w:r>
        <w:rPr>
          <w:rFonts w:ascii="Times New Roman" w:cs="Times New Roman" w:eastAsia="Times New Roman" w:hAnsi="Times New Roman"/>
          <w:sz w:val="18"/>
          <w:szCs w:val="18"/>
          <w:color w:val="auto"/>
        </w:rPr>
        <w:t>Pro forma basic and diluted net loss per share attributable to controlling interests of the Combined Company is calculated as follows for the year ended December 31, 2025:</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8140" w:type="dxa"/>
            <w:vAlign w:val="bottom"/>
          </w:tcPr>
          <w:p>
            <w:pPr>
              <w:spacing w:after="0"/>
              <w:rPr>
                <w:sz w:val="18"/>
                <w:szCs w:val="18"/>
                <w:color w:val="auto"/>
              </w:rPr>
            </w:pPr>
          </w:p>
        </w:tc>
        <w:tc>
          <w:tcPr>
            <w:tcW w:w="20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8"/>
        </w:trPr>
        <w:tc>
          <w:tcPr>
            <w:tcW w:w="8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(72,316,000)</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(161,000)</w:t>
            </w:r>
          </w:p>
        </w:tc>
        <w:tc>
          <w:tcPr>
            <w:tcW w:w="0" w:type="dxa"/>
            <w:vAlign w:val="bottom"/>
          </w:tcPr>
          <w:p>
            <w:pPr>
              <w:spacing w:after="0"/>
              <w:rPr>
                <w:sz w:val="1"/>
                <w:szCs w:val="1"/>
                <w:color w:val="auto"/>
              </w:rPr>
            </w:pPr>
          </w:p>
        </w:tc>
      </w:tr>
      <w:tr>
        <w:trPr>
          <w:trHeight w:val="209"/>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loss attributable to controlling interests</w:t>
            </w:r>
          </w:p>
        </w:tc>
        <w:tc>
          <w:tcPr>
            <w:tcW w:w="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(72,155,000)</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1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Less: dividends on Series C Preferred Stock</w:t>
            </w:r>
            <w:r>
              <w:rPr>
                <w:rFonts w:ascii="Times New Roman" w:cs="Times New Roman" w:eastAsia="Times New Roman" w:hAnsi="Times New Roman"/>
                <w:sz w:val="29"/>
                <w:szCs w:val="29"/>
                <w:color w:val="auto"/>
                <w:vertAlign w:val="superscript"/>
              </w:rPr>
              <w:t>(1)</w:t>
            </w: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(20,390)</w:t>
            </w:r>
          </w:p>
        </w:tc>
        <w:tc>
          <w:tcPr>
            <w:tcW w:w="0" w:type="dxa"/>
            <w:vAlign w:val="bottom"/>
          </w:tcPr>
          <w:p>
            <w:pPr>
              <w:spacing w:after="0"/>
              <w:rPr>
                <w:sz w:val="1"/>
                <w:szCs w:val="1"/>
                <w:color w:val="auto"/>
              </w:rPr>
            </w:pPr>
          </w:p>
        </w:tc>
      </w:tr>
      <w:tr>
        <w:trPr>
          <w:trHeight w:val="209"/>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loss attributable to common stockholders of Combined Company</w:t>
            </w:r>
          </w:p>
        </w:tc>
        <w:tc>
          <w:tcPr>
            <w:tcW w:w="20" w:type="dxa"/>
            <w:vAlign w:val="bottom"/>
          </w:tcPr>
          <w:p>
            <w:pPr>
              <w:spacing w:after="0"/>
              <w:rPr>
                <w:sz w:val="18"/>
                <w:szCs w:val="18"/>
                <w:color w:val="auto"/>
              </w:rPr>
            </w:pPr>
          </w:p>
        </w:tc>
        <w:tc>
          <w:tcPr>
            <w:tcW w:w="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(72,175,390)</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1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Assume exchange of Enzon Series C Preferred Stock for Enzon Common Stock and the conversion of Enzon</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Common Stock into Combined Company Common Stock effective January 1, 2024 as a result of assuming</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Closing of the Merger on January 1, 2024</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5,707,228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14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Assume conversion of legacy Enzon Common Stock into Combined Company Common Stock effective</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January 1, 2024 as a result of assuming Closing of the Merger on January 1, 2024</w:t>
            </w: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742,005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1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Assume conversion of Viskase Common Stock into the right to receive Enzon Common Stock and the</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conversion of Enzon Common Stock into Combined Company Common Stock effective January 1, 2024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 a result of assuming Closing of the Merger on January 1, 2024</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7,882,387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weighted-average shares outstanding - basic and diluted</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14,331,620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81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Pro forma net loss per share attributable to common stockholders of Combined Company - basic and</w:t>
            </w:r>
          </w:p>
        </w:tc>
        <w:tc>
          <w:tcPr>
            <w:tcW w:w="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25"/>
        </w:trPr>
        <w:tc>
          <w:tcPr>
            <w:tcW w:w="8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440" w:type="dxa"/>
            <w:vAlign w:val="bottom"/>
            <w:gridSpan w:val="2"/>
            <w:vMerge w:val="continue"/>
          </w:tcPr>
          <w:p>
            <w:pPr>
              <w:spacing w:after="0"/>
              <w:rPr>
                <w:sz w:val="19"/>
                <w:szCs w:val="19"/>
                <w:color w:val="auto"/>
              </w:rPr>
            </w:pPr>
          </w:p>
        </w:tc>
        <w:tc>
          <w:tcPr>
            <w:tcW w:w="16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hanging="328"/>
        <w:spacing w:after="0" w:line="256" w:lineRule="auto"/>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IEH Share Exchange and Series C Exchange Offer, 39,616 of the 40,000 share of the issued and outstanding Series C Preferred Stock were exchanged for 5,707,228 shares of Enzon Common Stock. The 384 shares of Series C Preferred Stock that were not exchanged for shares of Enzon Common Stock remain outstanding. For the purpose of making adjustments to the unaudited pro forma condensed combined statement of operations, the IEH Share Exchange and Series C Exchange Offer were assumed to occur on January 1, 2025. As such, the dividends on Series C Preferred Stock were adjusted to reflect only the proportion of dividends on Series C Preferred Stock not exchanged for shares of Enzon Common Stock.</w:t>
      </w:r>
    </w:p>
    <w:p>
      <w:pPr>
        <w:spacing w:after="0" w:line="18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antidilutive shares of the Combined Company for the year ended December 31, 2025.</w:t>
      </w:r>
    </w:p>
    <w:p>
      <w:pPr>
        <w:spacing w:after="0" w:line="2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Conforming Accounting Policies and Reclassification Adjustments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following items represent certain reclassification adjustments to conform the presentation of Enzon’s historical statement of operations for the year</w:t>
      </w:r>
    </w:p>
    <w:p>
      <w:pPr>
        <w:spacing w:after="0" w:line="3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ended December 31, 2025 to the presentation of Viskase’s historical consolidated statement of operations for the year ended December 31, 2025. These reclassification adjustments have no impact on net loss for the year ended December 31, 2025, and are summarized below:</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To reclassify Enzon’s historical general and administrative and transaction expenses into the selling, general and administrative line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lvl w:ilvl="1">
      <w:lvlJc w:val="left"/>
      <w:lvlText w:val="%2"/>
      <w:numFmt w:val="decimal"/>
      <w:start w:val="104"/>
    </w:lvl>
  </w:abstractNum>
  <w:abstractNum w:abstractNumId="2">
    <w:nsid w:val="4353D0CD"/>
    <w:multiLevelType w:val="hybridMultilevel"/>
    <w:lvl w:ilvl="0">
      <w:lvlJc w:val="left"/>
      <w:lvlText w:val="%1."/>
      <w:numFmt w:val="decimal"/>
      <w:start w:val="1"/>
    </w:lvl>
    <w:lvl w:ilvl="1">
      <w:lvlJc w:val="left"/>
      <w:lvlText w:val="-"/>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2"/>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1)"/>
      <w:numFmt w:val="lowerLetter"/>
      <w:start w:val="3"/>
    </w:lvl>
  </w:abstractNum>
  <w:abstractNum w:abstractNumId="8">
    <w:nsid w:val="836C40E"/>
    <w:multiLevelType w:val="hybridMultilevel"/>
    <w:lvl w:ilvl="0">
      <w:lvlJc w:val="left"/>
      <w:lvlText w:val="%1."/>
      <w:numFmt w:val="decimal"/>
      <w:start w:val="8"/>
    </w:lvl>
  </w:abstractNum>
  <w:abstractNum w:abstractNumId="9">
    <w:nsid w:val="2901D82"/>
    <w:multiLevelType w:val="hybridMultilevel"/>
    <w:lvl w:ilvl="0">
      <w:lvlJc w:val="left"/>
      <w:lvlText w:val="%1."/>
      <w:numFmt w:val="decimal"/>
      <w:start w:val="9"/>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1."/>
      <w:numFmt w:val="decimal"/>
      <w:start w:val="10"/>
    </w:lvl>
  </w:abstractNum>
  <w:abstractNum w:abstractNumId="13">
    <w:nsid w:val="7C3DBD3D"/>
    <w:multiLevelType w:val="hybridMultilevel"/>
    <w:lvl w:ilvl="0">
      <w:lvlJc w:val="left"/>
      <w:lvlText w:val="(%1)"/>
      <w:numFmt w:val="lowerRoman"/>
      <w:start w:val="3"/>
    </w:lvl>
  </w:abstractNum>
  <w:abstractNum w:abstractNumId="14">
    <w:nsid w:val="737B8DDC"/>
    <w:multiLevelType w:val="hybridMultilevel"/>
    <w:lvl w:ilvl="0">
      <w:lvlJc w:val="left"/>
      <w:lvlText w:val="(%1)"/>
      <w:numFmt w:val="lowerLetter"/>
      <w:start w:val="3"/>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1)"/>
      <w:numFmt w:val="lowerRoman"/>
      <w:start w:val="3"/>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lvl w:ilvl="1">
      <w:lvlJc w:val="left"/>
      <w:lvlText w:val="o"/>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1."/>
      <w:numFmt w:val="decimal"/>
      <w:start w:val="2"/>
    </w:lvl>
  </w:abstractNum>
  <w:abstractNum w:abstractNumId="29">
    <w:nsid w:val="5E884ADC"/>
    <w:multiLevelType w:val="hybridMultilevel"/>
    <w:lvl w:ilvl="0">
      <w:lvlJc w:val="left"/>
      <w:lvlText w:val="%1."/>
      <w:numFmt w:val="decimal"/>
      <w:start w:val="2"/>
    </w:lvl>
    <w:lvl w:ilvl="1">
      <w:lvlJc w:val="left"/>
      <w:lvlText w:val="·"/>
      <w:numFmt w:val="bullet"/>
      <w:start w:val="1"/>
    </w:lvl>
  </w:abstractNum>
  <w:abstractNum w:abstractNumId="30">
    <w:nsid w:val="51EAD36B"/>
    <w:multiLevelType w:val="hybridMultilevel"/>
    <w:lvl w:ilvl="0">
      <w:lvlJc w:val="left"/>
      <w:lvlText w:val="(%1)"/>
      <w:numFmt w:val="lowerLetter"/>
      <w:start w:val="53"/>
    </w:lvl>
  </w:abstractNum>
  <w:abstractNum w:abstractNumId="31">
    <w:nsid w:val="2D517796"/>
    <w:multiLevelType w:val="hybridMultilevel"/>
    <w:lvl w:ilvl="0">
      <w:lvlJc w:val="left"/>
      <w:lvlText w:val="(%1)"/>
      <w:numFmt w:val="lowerLetter"/>
      <w:start w:val="27"/>
    </w:lvl>
  </w:abstractNum>
  <w:abstractNum w:abstractNumId="32">
    <w:nsid w:val="580BD78F"/>
    <w:multiLevelType w:val="hybridMultilevel"/>
    <w:lvl w:ilvl="0">
      <w:lvlJc w:val="left"/>
      <w:lvlText w:val="(%1)"/>
      <w:numFmt w:val="lowerLetter"/>
      <w:start w:val="1"/>
    </w:lvl>
  </w:abstractNum>
  <w:abstractNum w:abstractNumId="33">
    <w:nsid w:val="153EA438"/>
    <w:multiLevelType w:val="hybridMultilevel"/>
    <w:lvl w:ilvl="0">
      <w:lvlJc w:val="left"/>
      <w:lvlText w:val="(%1)"/>
      <w:numFmt w:val="lowerLetter"/>
      <w:start w:val="7"/>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1)"/>
      <w:numFmt w:val="lowerRoman"/>
      <w:start w:val="1"/>
    </w:lvl>
    <w:lvl w:ilvl="1">
      <w:lvlJc w:val="left"/>
      <w:lvlText w:val="(%2)"/>
      <w:numFmt w:val="decimal"/>
      <w:start w:val="1"/>
    </w:lvl>
  </w:abstractNum>
  <w:abstractNum w:abstractNumId="43">
    <w:nsid w:val="4B588F54"/>
    <w:multiLevelType w:val="hybridMultilevel"/>
    <w:lvl w:ilvl="0">
      <w:lvlJc w:val="left"/>
      <w:lvlText w:val="%1."/>
      <w:numFmt w:val="decimal"/>
      <w:start w:val="4"/>
    </w:lvl>
  </w:abstractNum>
  <w:abstractNum w:abstractNumId="44">
    <w:nsid w:val="542289EC"/>
    <w:multiLevelType w:val="hybridMultilevel"/>
    <w:lvl w:ilvl="0">
      <w:lvlJc w:val="left"/>
      <w:lvlText w:val="(%1)"/>
      <w:numFmt w:val="lowerLetter"/>
      <w:start w:val="27"/>
    </w:lvl>
  </w:abstractNum>
  <w:abstractNum w:abstractNumId="45">
    <w:nsid w:val="6DE91B18"/>
    <w:multiLevelType w:val="hybridMultilevel"/>
    <w:lvl w:ilvl="0">
      <w:lvlJc w:val="left"/>
      <w:lvlText w:val="(%1)"/>
      <w:numFmt w:val="lowerLetter"/>
      <w:start w:val="1"/>
    </w:lvl>
  </w:abstractNum>
  <w:abstractNum w:abstractNumId="46">
    <w:nsid w:val="38437FDB"/>
    <w:multiLevelType w:val="hybridMultilevel"/>
    <w:lvl w:ilvl="0">
      <w:lvlJc w:val="left"/>
      <w:lvlText w:val="%1"/>
      <w:numFmt w:val="decimal"/>
      <w:start w:val="1"/>
    </w:lvl>
    <w:lvl w:ilvl="1">
      <w:lvlJc w:val="left"/>
      <w:lvlText w:val="(%2)"/>
      <w:numFmt w:val="decimal"/>
      <w:start w:val="1"/>
    </w:lvl>
  </w:abstractNum>
  <w:abstractNum w:abstractNumId="47">
    <w:nsid w:val="7644A45C"/>
    <w:multiLevelType w:val="hybridMultilevel"/>
    <w:lvl w:ilvl="0">
      <w:lvlJc w:val="left"/>
      <w:lvlText w:val="%1."/>
      <w:numFmt w:val="decimal"/>
      <w:start w:val="5"/>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jpeg"/><Relationship Id="rId23" Type="http://schemas.openxmlformats.org/officeDocument/2006/relationships/image" Target="media/image12.jpeg"/><Relationship Id="rId24" Type="http://schemas.openxmlformats.org/officeDocument/2006/relationships/image" Target="media/image13.jpe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4" Type="http://schemas.openxmlformats.org/officeDocument/2006/relationships/hyperlink" Target="https://www.sec.gov/Archives/edgar/data/0000727510/000110465925061311/tm2518511d1_ex2-1.htm" TargetMode="External"/><Relationship Id="rId15" Type="http://schemas.openxmlformats.org/officeDocument/2006/relationships/hyperlink" Target="https://www.sec.gov/Archives/edgar/data/0000727510/000110465925102127/tm2529311d1_ex2-1.htm" TargetMode="External"/><Relationship Id="rId16" Type="http://schemas.openxmlformats.org/officeDocument/2006/relationships/hyperlink" Target="https://www.sec.gov/Archives/edgar/data/0000727510/000110465925061311/tm2518511d1_ex10-1.htm" TargetMode="External"/><Relationship Id="rId18" Type="http://schemas.openxmlformats.org/officeDocument/2006/relationships/hyperlink" Target="https://www.sec.gov/Archives/edgar/data/727510/000110465925102127/tm2529311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2026-05-01T11:03:51Z</dcterms:created>
  <dcterms:modified xsi:type="dcterms:W3CDTF">2026-05-01T11:03:51Z</dcterms:modified>
</cp:coreProperties>
</file>