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VISKASE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Jesse Lynn,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Icahn Capital LP, 16690 Collins Avenue, Suite PH-1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Sunny Isles Beach, FL, 33160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305-442-4000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Joshua Apfelroth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Eleven Times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212-969-3000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1001 Pennsylvania Ave. NW,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202-416-6800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 C ICAHN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13,426,451.00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13,426,451.00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13,426,451.00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ENTERPRISES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13,426,451.00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13,426,451.00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13,426,451.00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ENTERPRISES G.P.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13,426,451.00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13,426,451.00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13,426,451.00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VISKASE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333 East Butterfield Road, Suite 400, Lombard, ILLINOIS , 60148.</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constitutes Amendment No. 19 to the Schedule 13D relating to the shares of Common Stock, par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value $0.01 per share (the "Shares"), issued by Viskase Holdings, Inc. (formerly known as Enzon Pharmaceuticals,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Inc.), a Delaware corporation (the "Issuer"), and amends the Schedule 13D relating to the Shares filed on March 14, 2008 (as previously amended, the "Original 13D"), on behalf of the Reporting Persons (as defined in Item 2 of Amendment No. 16 to the Schedule 13D). Capitalized terms used herein and not otherwise defined have the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respective meanings ascribed thereto in the Original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34" w:lineRule="auto"/>
        <w:rPr>
          <w:sz w:val="20"/>
          <w:szCs w:val="20"/>
          <w:color w:val="auto"/>
        </w:rPr>
      </w:pPr>
      <w:r>
        <w:rPr>
          <w:rFonts w:ascii="Times New Roman" w:cs="Times New Roman" w:eastAsia="Times New Roman" w:hAnsi="Times New Roman"/>
          <w:sz w:val="22"/>
          <w:szCs w:val="22"/>
          <w:color w:val="auto"/>
        </w:rPr>
        <w:t>Item 4 of the Original 13D is hereby amended and supplemented as follows: On March 25, 2026, in connection with the closing of the previously announced Merger between the Issuer and Viskase Companies, Inc. ("Viskase") and pursuant to the terms of the IEH Support Agreement, the Reporting Persons exchanged 39,277 shares of Preferred Stock for 5,658,396 shares of the Issuer's Common Stock. On March 26, 2026 (the "Closing Date"), the Issuer completed the Merger with Viskase pursuant to the Merger Agreement. In connection with the Merger and pursuant to the Merger Agreement, the Reporting Persons received 7,407,489 shares of the Issuer in exchange for 150,810,078 shares of Viskase. Robert Flint, Colin Kwak, and Dustin DeMaria were appointed to the Issuer's board of directors in connection with the closing of the Merger. Mr. Flint is the Chief Accounting Officer of Icahn Enterprises L.P. Mr. Kwak is the head trader at Icahn Capital LP, an affiliate of the Reporting Persons. Mr. DeMaria is a Senior Analyst at Ichan Enterprises L.P., an affiliate of the Reporting Persons.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Items (a)-(c) of the Original 13D are hereby amended and supplemented as follows: The information set forth in rows</w:t>
      </w:r>
    </w:p>
    <w:p>
      <w:pPr>
        <w:spacing w:after="0" w:line="26" w:lineRule="exact"/>
        <w:rPr>
          <w:sz w:val="20"/>
          <w:szCs w:val="20"/>
          <w:color w:val="auto"/>
        </w:rPr>
      </w:pPr>
    </w:p>
    <w:p>
      <w:pPr>
        <w:jc w:val="both"/>
        <w:ind w:left="920" w:right="80" w:hanging="912"/>
        <w:spacing w:after="0" w:line="256"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 and 13 of the cover pages hereto is incorporated herein by reference. The percentages set forth on the cover pages are based on 14,331,713 outstanding Shares as of March 26, 2026, as reported by the Issuer to the Reporting Persons.</w:t>
      </w: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rows 7-10 of the cover pages hereto is incorporated herein by reference.</w:t>
      </w:r>
    </w:p>
    <w:p>
      <w:pPr>
        <w:spacing w:after="0" w:line="44" w:lineRule="exact"/>
        <w:rPr>
          <w:rFonts w:ascii="Times New Roman" w:cs="Times New Roman" w:eastAsia="Times New Roman" w:hAnsi="Times New Roman"/>
          <w:sz w:val="22"/>
          <w:szCs w:val="22"/>
          <w:color w:val="auto"/>
        </w:rPr>
      </w:pPr>
    </w:p>
    <w:p>
      <w:pPr>
        <w:ind w:left="920" w:right="2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4 herein is incorporated herein by reference. Except for the transaction set forth in Item 4, none of the Reporting Persons effected any transaction in the Shares in the past 60 days.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60"/>
          </w:cols>
          <w:pgMar w:left="360" w:top="102" w:right="379" w:bottom="0" w:gutter="0" w:footer="0" w:header="0"/>
        </w:sectPr>
      </w:pPr>
    </w:p>
    <w:bookmarkStart w:id="4" w:name="page5"/>
    <w:bookmarkEnd w:id="4"/>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CARL C ICAHN</w:t>
      </w:r>
    </w:p>
    <w:p>
      <w:pPr>
        <w:spacing w:after="0" w:line="15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C. Icahn</w:t>
      </w:r>
    </w:p>
    <w:p>
      <w:pPr>
        <w:spacing w:after="0" w:line="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Name/Title: Carl C. Icahn</w:t>
      </w:r>
    </w:p>
    <w:p>
      <w:pPr>
        <w:spacing w:after="0" w:line="4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ICAHN ENTERPRISES HOLDINGS L.P.</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Ted Papapostolou, Chief Financial Officer</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ICAHN ENTERPRISES G.P. INC.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Ted Papapostolou, Chief Financial Officer</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2026-03-27T18:50:22Z</dcterms:created>
  <dcterms:modified xsi:type="dcterms:W3CDTF">2026-03-27T18:50:22Z</dcterms:modified>
</cp:coreProperties>
</file>