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16,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VISKASE HOLDINGS,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000-12957</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22-2372868</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72"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240"/>
          </w:cols>
          <w:pgMar w:left="320" w:top="772" w:right="339" w:bottom="1440" w:gutter="0" w:footer="0" w:header="0"/>
          <w:type w:val="continuous"/>
        </w:sectPr>
      </w:pPr>
    </w:p>
    <w:p>
      <w:pPr>
        <w:spacing w:after="0" w:line="214"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333 East Butterfield Road, Suite 400, Lombard, Illinois</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60148</w:t>
      </w:r>
    </w:p>
    <w:p>
      <w:pPr>
        <w:spacing w:after="0" w:line="3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720" w:space="720"/>
            <w:col w:w="280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(630) 874-0700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129"/>
        <w:spacing w:after="0" w:line="498"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20" w:type="dxa"/>
            <w:vAlign w:val="bottom"/>
          </w:tcPr>
          <w:p>
            <w:pPr>
              <w:spacing w:after="0"/>
              <w:rPr>
                <w:sz w:val="19"/>
                <w:szCs w:val="19"/>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77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16, 2026, Viskase Companies, LLC (“Viskase Companies”), a wholly owned subsidiary of Viskase Holdings, Inc., entered into the Seventh Amendment (the “Seventh Amendment”) to its Credit Agreement, dated as of October 9, 2020, by and between Viskase Companies, certain subsidiaries of Viskase Companies, certain lenders party thereto, and Bank of America, N.A., as administrative agent (such agreement, the “Existing Credit Agreement” and, as amended by the Seventh Amendment, the “Amended Credit Agreement”). Capitalized terms that are used but not defined herein shall have the meanings ascribed to such terms in the Amended Credit Agreement.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Seventh Amendment, among other things: (i) extends the Maturity Date from August 13, 2026 until August 13, 2027; (ii) amends the definition of Applicable Rate to increase the interest rate for (A) Revolving Loans that are Base Rate Loans and Term SOFR Loans from 3.0% to 4.0%, (B) that portion of Term Loans that are Base Rate Loans and Term SOFR Loans from 2.0% to 3.0%, and (C) the letters of credit from 3.0% to 4.0%; (iii) amends the definition of Consolidated EBITDA to address the treatment of certain restructuring and transaction related costs and expenses; (iv) amends the definition of Permitted Transfers to allow the disposition of the equipment, real property and improvements of the Osceola Facility and the real property and improvements of the Chicago Property; and (v) amends certain thresholds for obligations under the Existing Credit Agreement (including for negative covenants, events of default, and borrowing base reporting requirements).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Credit Agreement contains customary affirmative and negative covenants, including, among other things, limitation on incurring indebtedness, creating liens on its and its subsidiaries assets, making investments, entering into merger, consolidation or acquisition transactions, disposing of assets (other than in the ordinary course of business), making certain restricted payments, entering into sale and leaseback transactions and transactions with affiliates, in each case subject to permitted exceptions.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Credit Agreement is guaranteed by each existing and future direct and indirect wholly owned material domestic restricted subsidiary and foreign restricted subsidiary of the Viskase Companies (other than any Brazilian subsidiary). The Amended Credit Agreement is secured by substantially all of the assets of Viskase Companies and its material domestic restricted subsidiaries, with the exception of real property.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Seventh Amendment does not purport to be complete and is qualified in its entirety by reference to the complete text of the Seventh Amendment, a copy of which has been filed as Exhibit 10.1 to this Current Report on Form 8-K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1.01 of this Current Report on Form 8-K is hereby incorporated by reference into this Item 2.03.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Seventh Amendment to Credit Agreement, dated as of April 16, 2026.</w:t>
      </w:r>
    </w:p>
    <w:p>
      <w:pPr>
        <w:spacing w:after="0" w:line="225" w:lineRule="exact"/>
        <w:rPr>
          <w:sz w:val="20"/>
          <w:szCs w:val="20"/>
          <w:color w:val="auto"/>
        </w:rPr>
      </w:pPr>
    </w:p>
    <w:p>
      <w:pPr>
        <w:ind w:left="1300" w:hanging="1292"/>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ind w:firstLine="8"/>
        <w:spacing w:after="0" w:line="282" w:lineRule="auto"/>
        <w:tabs>
          <w:tab w:leader="none" w:pos="1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601(b)(2). The Registrant agrees to 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VISKASE HOLDINGS, INC.</w:t>
            </w:r>
          </w:p>
        </w:tc>
      </w:tr>
      <w:tr>
        <w:trPr>
          <w:trHeight w:val="216"/>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(Registrant)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2026</w:t>
            </w:r>
          </w:p>
        </w:tc>
        <w:tc>
          <w:tcPr>
            <w:tcW w:w="5040" w:type="dxa"/>
            <w:vAlign w:val="bottom"/>
          </w:tcPr>
          <w:p>
            <w:pPr>
              <w:spacing w:after="0"/>
              <w:rPr>
                <w:sz w:val="18"/>
                <w:szCs w:val="18"/>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D. King</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D. King</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&amp; Secretary</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21F1F"/>
        </w:rPr>
        <w:t xml:space="preserve">SEVENTH </w:t>
      </w:r>
      <w:r>
        <w:rPr>
          <w:rFonts w:ascii="Times New Roman" w:cs="Times New Roman" w:eastAsia="Times New Roman" w:hAnsi="Times New Roman"/>
          <w:sz w:val="18"/>
          <w:szCs w:val="18"/>
          <w:b w:val="1"/>
          <w:bCs w:val="1"/>
          <w:color w:val="000000"/>
        </w:rPr>
        <w:t>AMENDMENT TO CREDIT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w:t>
      </w:r>
      <w:r>
        <w:rPr>
          <w:rFonts w:ascii="Times New Roman" w:cs="Times New Roman" w:eastAsia="Times New Roman" w:hAnsi="Times New Roman"/>
          <w:sz w:val="18"/>
          <w:szCs w:val="18"/>
          <w:b w:val="1"/>
          <w:bCs w:val="1"/>
          <w:color w:val="221F1F"/>
        </w:rPr>
        <w:t>SEVENTH</w:t>
      </w:r>
      <w:r>
        <w:rPr>
          <w:rFonts w:ascii="Times New Roman" w:cs="Times New Roman" w:eastAsia="Times New Roman" w:hAnsi="Times New Roman"/>
          <w:sz w:val="18"/>
          <w:szCs w:val="18"/>
          <w:b w:val="1"/>
          <w:bCs w:val="1"/>
          <w:color w:val="auto"/>
        </w:rPr>
        <w:t xml:space="preserve"> AMENDMENT TO CREDIT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April 16, 2026, is by and among</w:t>
      </w:r>
      <w:r>
        <w:rPr>
          <w:rFonts w:ascii="Times New Roman" w:cs="Times New Roman" w:eastAsia="Times New Roman" w:hAnsi="Times New Roman"/>
          <w:sz w:val="18"/>
          <w:szCs w:val="18"/>
          <w:b w:val="1"/>
          <w:bCs w:val="1"/>
          <w:color w:val="auto"/>
        </w:rPr>
        <w:t xml:space="preserve"> VISKASE COMPANIES, LLC (f/k/a VISKASE COMPANIES, INC.)</w:t>
      </w:r>
      <w:r>
        <w:rPr>
          <w:rFonts w:ascii="Times New Roman" w:cs="Times New Roman" w:eastAsia="Times New Roman" w:hAnsi="Times New Roman"/>
          <w:sz w:val="18"/>
          <w:szCs w:val="18"/>
          <w:color w:val="auto"/>
        </w:rPr>
        <w:t>, a Delaware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Subsidiary Guarantors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hereto, the Lenders party hereto and </w:t>
      </w: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Capitalized terms used herein and not otherwise defined herein shall have the meanings ascribed thereto in the Credit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the other Guarantors party thereto, certain financial institutions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Administrative Agent are parties to that certain Credit Agreement dated as of October 9, 2020 (as amended, modified, extended, restated, replaced, or supplemented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has requested that the Lenders amend certain provisions of the Credit Agreement;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Lenders are willing to do so in accordance with, and subject to the terms and conditions set forth in, this Amendment.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agreements hereinafter set forth, and for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adequacy of which are hereby acknowledged, the parties hereto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 TO CREDIT AGREEMENT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1.01</w:t>
      </w:r>
      <w:r>
        <w:rPr>
          <w:rFonts w:ascii="Times New Roman" w:cs="Times New Roman" w:eastAsia="Times New Roman" w:hAnsi="Times New Roman"/>
          <w:sz w:val="18"/>
          <w:szCs w:val="18"/>
          <w:color w:val="auto"/>
        </w:rPr>
        <w:t>          Effective as of the Amendment Effective Date but subject to the satisfaction of the closing conditions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(including all Schedules and Exhibit C thereto, but excluding all other Exhibits, which shall remain in the original form delivered or most recently amended, as applicable) is hereby amended as set forth in the marked terms on Exhibit A-1 attached hereto. In Exhibit A-1 hereto, the body of the Credit Agreement is hereby amended (i) to delete text (as indicted in the same manner as the following: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(ii) to insert text (as indicated in the same manner as the following: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Exhibit A-2 attached hereto sets forth a clean copy of the Credit Agreement as amended hereby, after giving effect to such amendments.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EFFECTIVENESS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2.01      </w:t>
      </w:r>
      <w:r>
        <w:rPr>
          <w:rFonts w:ascii="Times New Roman" w:cs="Times New Roman" w:eastAsia="Times New Roman" w:hAnsi="Times New Roman"/>
          <w:sz w:val="18"/>
          <w:szCs w:val="18"/>
          <w:b w:val="1"/>
          <w:bCs w:val="1"/>
          <w:u w:val="single" w:color="auto"/>
          <w:color w:val="auto"/>
        </w:rPr>
        <w:t>  Closing Conditions</w:t>
      </w:r>
      <w:r>
        <w:rPr>
          <w:rFonts w:ascii="Times New Roman" w:cs="Times New Roman" w:eastAsia="Times New Roman" w:hAnsi="Times New Roman"/>
          <w:sz w:val="18"/>
          <w:szCs w:val="18"/>
          <w:color w:val="auto"/>
        </w:rPr>
        <w:t>. This Amendment shall become effective as of the day and year set forth above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waiver) of the following conditions (in each case, in form and substance reasonably acceptable to the Administrative Agent and as determined by the Administrative Agent in its sole discretion):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Executed Amendment</w:t>
      </w:r>
      <w:r>
        <w:rPr>
          <w:rFonts w:ascii="Times New Roman" w:cs="Times New Roman" w:eastAsia="Times New Roman" w:hAnsi="Times New Roman"/>
          <w:sz w:val="18"/>
          <w:szCs w:val="18"/>
          <w:color w:val="auto"/>
        </w:rPr>
        <w:t>. The Administrative Agent shall have received a copy of this Amendment duly executed by each of the Loan Parties, each of the Lenders and the Administrative Agent.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After giving effect to this Amendment, no Default or Event of Default shall exist.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Seventh Amendment Fee</w:t>
      </w:r>
      <w:r>
        <w:rPr>
          <w:rFonts w:ascii="Times New Roman" w:cs="Times New Roman" w:eastAsia="Times New Roman" w:hAnsi="Times New Roman"/>
          <w:sz w:val="18"/>
          <w:szCs w:val="18"/>
          <w:color w:val="auto"/>
        </w:rPr>
        <w:t>. The Administrative Agent shall have received payment of the Seventh Amendment Fee equal to $682,000.00, which shall be fully earned by the Administrative Agent and each Lender party hereto and non-refundable upon the Amendment Effective Date.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Administrative Agent shall have received (A) copies of resolutions of the board of directors or an equivalent governing body of each Loan Party approving and authorizing the execution, delivery and performance of this Amendment, certified as of the Amendment Effective Date by a Responsible Officer of such Loan Party, as applicable, as being in full force and effect without modification or amendment, (B) good standing certificates for each Loan Party, in each case, from the jurisdiction in which they are organized (to the extent such concept exists in such jurisdiction), (C) a certificate of a Responsible Officer of each Loan Party, (x) either (i) attaching and certifying as to the true and correct copies of the Organization Documents of such Loan Party or (ii) certifying that the Organization Documents of such Loan Party, as applicable, delivered to the Administrative Agent on the Closing Date pursuant to Section 4.01(b) of the Credit Agreement remain in full force and effect without modification or amendment and (y) certifying as to the incumbency and genuineness of the signatures of each officer of such Loan Party executing this Amendment.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Legal Opinions of Counsel</w:t>
      </w:r>
      <w:r>
        <w:rPr>
          <w:rFonts w:ascii="Times New Roman" w:cs="Times New Roman" w:eastAsia="Times New Roman" w:hAnsi="Times New Roman"/>
          <w:sz w:val="18"/>
          <w:szCs w:val="18"/>
          <w:color w:val="auto"/>
        </w:rPr>
        <w:t>. The Administrative Agent shall have received an opinion from Jenner &amp; Block LLP, counsel for the Loan Parties, dated as of the Amendment Effective Date and addressed to the Administrative Agent and the Lenders, in form and substance reasonably acceptable to the Administrative Agent.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The Administrative Agent shall have received from the Borrower all fees and expenses required to be paid or reimbursed by the Borrower hereunder or the Credit Agreement (as amended hereby), including (i) all fees and expenses of McGuireWoods LLP, as counsel to the Administrative Agent, that have been invoiced prior to the Amendment Effective Date and (ii) all fees and expenses of Ankura Consulting Group, LLC, as financial advisor to the Administrative Agent, that have been invoiced prior to the Amendment Effective Date.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Closing Invoice</w:t>
      </w:r>
      <w:r>
        <w:rPr>
          <w:rFonts w:ascii="Times New Roman" w:cs="Times New Roman" w:eastAsia="Times New Roman" w:hAnsi="Times New Roman"/>
          <w:sz w:val="18"/>
          <w:szCs w:val="18"/>
          <w:color w:val="auto"/>
        </w:rPr>
        <w:t>. The Administrative Agent shall have received a customary closing invoice duly executed by the Borrower, the form of which shall be provided by the Administrative Agent prior to the Amendment Effective Date.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3.01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Amended Terms</w:t>
      </w:r>
      <w:r>
        <w:rPr>
          <w:rFonts w:ascii="Times New Roman" w:cs="Times New Roman" w:eastAsia="Times New Roman" w:hAnsi="Times New Roman"/>
          <w:sz w:val="18"/>
          <w:szCs w:val="18"/>
          <w:color w:val="auto"/>
        </w:rPr>
        <w:t>. Except as expressly set forth herein or in the Credit Agreement, this Amendment shall not by implication or otherwise limit,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 constitute a waiver of, or otherwise affect the rights and remedies of the Lenders or the Administrative Agent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On and after the Amendment Effective Date, all references to the Credit Agreement in each of the Loan Documents shall hereafter mean the Credit Agreement as amended by this Amendment. Except as specifically amended hereby or otherwise agreed, the Credit Agreement is hereby ratified and confirmed and shall remain in full force and effect according to its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3.02      </w:t>
      </w:r>
      <w:r>
        <w:rPr>
          <w:rFonts w:ascii="Times New Roman" w:cs="Times New Roman" w:eastAsia="Times New Roman" w:hAnsi="Times New Roman"/>
          <w:sz w:val="18"/>
          <w:szCs w:val="18"/>
          <w:b w:val="1"/>
          <w:bCs w:val="1"/>
          <w:u w:val="single" w:color="auto"/>
          <w:color w:val="auto"/>
        </w:rPr>
        <w:t>  Representations and Warranties of Loan Parties</w:t>
      </w:r>
      <w:r>
        <w:rPr>
          <w:rFonts w:ascii="Times New Roman" w:cs="Times New Roman" w:eastAsia="Times New Roman" w:hAnsi="Times New Roman"/>
          <w:sz w:val="18"/>
          <w:szCs w:val="18"/>
          <w:color w:val="auto"/>
        </w:rPr>
        <w:t>. Each of the Loan Parties represents and warrants as follows: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It has taken all necessary action to authorize the execution, delivery and performance of this Amendment.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This Amendment has been duly executed and delivered by such Person and constitutes such Person’s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No consent, approval, authorization or order of, or filing, registration or qualification with, any court or governmental authority or third party is required in connection with the execution, delivery or performance by such Person of this Amendment, except for such as have been made or obtained and are in full force and effect.</w:t>
      </w:r>
    </w:p>
    <w:p>
      <w:pPr>
        <w:spacing w:after="0" w:line="17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(d)            The representations and warranties set forth in Article V of the Credit Agreement are true and correct in all material respects as of the date hereof (except for those which expressly relate to an earlier date or those which are qualified by materiality, which shall be true and correct in all respects).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After giving effect to this Amendment, no event has occurred and is continuing which constitutes a Default or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The Secured Obligations are not reduced or modified by this Amendment and are not subject to any offsets, defenses or counterclaims.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3.03      </w:t>
      </w:r>
      <w:r>
        <w:rPr>
          <w:rFonts w:ascii="Times New Roman" w:cs="Times New Roman" w:eastAsia="Times New Roman" w:hAnsi="Times New Roman"/>
          <w:sz w:val="18"/>
          <w:szCs w:val="18"/>
          <w:b w:val="1"/>
          <w:bCs w:val="1"/>
          <w:u w:val="single" w:color="auto"/>
          <w:color w:val="auto"/>
        </w:rPr>
        <w:t>  Reaffirmation of Obligations</w:t>
      </w:r>
      <w:r>
        <w:rPr>
          <w:rFonts w:ascii="Times New Roman" w:cs="Times New Roman" w:eastAsia="Times New Roman" w:hAnsi="Times New Roman"/>
          <w:sz w:val="18"/>
          <w:szCs w:val="18"/>
          <w:color w:val="auto"/>
        </w:rPr>
        <w:t>. Without in any way establishing a course of dealing by the Administrative Agent or any Lender, and after giving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to this Amendment, the Borrower and each Guarantor (i) acknowledges and consents to all of the terms and conditions of this Amendment,</w:t>
      </w:r>
    </w:p>
    <w:p>
      <w:pPr>
        <w:spacing w:after="0" w:line="1" w:lineRule="exact"/>
        <w:rPr>
          <w:sz w:val="20"/>
          <w:szCs w:val="20"/>
          <w:color w:val="auto"/>
        </w:rPr>
      </w:pPr>
    </w:p>
    <w:p>
      <w:pPr>
        <w:jc w:val="both"/>
        <w:ind w:right="20" w:firstLine="8"/>
        <w:spacing w:after="0" w:line="252" w:lineRule="auto"/>
        <w:tabs>
          <w:tab w:leader="none" w:pos="28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affirms all of its obligations under the Loan Documents (iii) agrees that this Amendment and all documents executed in connection herewith do not operate to reduce or discharge its obligations under the Loan Documents, (iv) agrees that the Collateral Documents continue to be in full force and effect and are not impaired or adversely affected in any manner whatsoever, (v) confirms its grant of security interests pursuant to the Collateral Documents to which it is a party as Collateral for the Obligations, and (vi) acknowledges that all Liens granted (or purported to be granted) pursuant to the Collateral Documents remain and continue in full force and effect in respect of, and to secure, the Obligations. Each Guarantor hereby reaffirms its obligations under the Guaranty and agrees that its obligation to guarantee the Obligations is in full force and effect as of the date 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3.04      </w:t>
      </w:r>
      <w:r>
        <w:rPr>
          <w:rFonts w:ascii="Times New Roman" w:cs="Times New Roman" w:eastAsia="Times New Roman" w:hAnsi="Times New Roman"/>
          <w:sz w:val="18"/>
          <w:szCs w:val="18"/>
          <w:b w:val="1"/>
          <w:bCs w:val="1"/>
          <w:u w:val="single" w:color="auto"/>
          <w:color w:val="auto"/>
        </w:rPr>
        <w:t>  Loan Document</w:t>
      </w:r>
      <w:r>
        <w:rPr>
          <w:rFonts w:ascii="Times New Roman" w:cs="Times New Roman" w:eastAsia="Times New Roman" w:hAnsi="Times New Roman"/>
          <w:sz w:val="18"/>
          <w:szCs w:val="18"/>
          <w:color w:val="auto"/>
        </w:rPr>
        <w:t>. This Amendment shall constitute a Loan Document under the terms of the Credit Agreement.</w:t>
      </w:r>
    </w:p>
    <w:p>
      <w:pPr>
        <w:spacing w:after="0" w:line="225"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color w:val="auto"/>
        </w:rPr>
        <w:t>3.05      </w:t>
      </w:r>
      <w:r>
        <w:rPr>
          <w:rFonts w:ascii="Times New Roman" w:cs="Times New Roman" w:eastAsia="Times New Roman" w:hAnsi="Times New Roman"/>
          <w:sz w:val="18"/>
          <w:szCs w:val="18"/>
          <w:b w:val="1"/>
          <w:bCs w:val="1"/>
          <w:u w:val="single" w:color="auto"/>
          <w:color w:val="auto"/>
        </w:rPr>
        <w:t>  Entirety</w:t>
      </w:r>
      <w:r>
        <w:rPr>
          <w:rFonts w:ascii="Times New Roman" w:cs="Times New Roman" w:eastAsia="Times New Roman" w:hAnsi="Times New Roman"/>
          <w:sz w:val="18"/>
          <w:szCs w:val="18"/>
          <w:color w:val="auto"/>
        </w:rPr>
        <w:t>. This Amendment and the other Loan Documents embody the entire agreement among the parties hereto and supersede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understandings, oral or written, if any, relating to the subject matter hereof.</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3.06      </w:t>
      </w:r>
      <w:r>
        <w:rPr>
          <w:rFonts w:ascii="Times New Roman" w:cs="Times New Roman" w:eastAsia="Times New Roman" w:hAnsi="Times New Roman"/>
          <w:sz w:val="18"/>
          <w:szCs w:val="18"/>
          <w:b w:val="1"/>
          <w:bCs w:val="1"/>
          <w:u w:val="single" w:color="auto"/>
          <w:color w:val="auto"/>
        </w:rPr>
        <w:t>  Counterparts; Telecopy</w:t>
      </w:r>
      <w:r>
        <w:rPr>
          <w:rFonts w:ascii="Times New Roman" w:cs="Times New Roman" w:eastAsia="Times New Roman" w:hAnsi="Times New Roman"/>
          <w:sz w:val="18"/>
          <w:szCs w:val="18"/>
          <w:color w:val="auto"/>
        </w:rPr>
        <w:t>. This Amendment may be executed in one or more counterparts, each of which shall constitute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taken together shall be one and the same instrument. Delivery of an executed counterpart of a signature page of this Amendment or any other document required to be delivered hereunder, by fax transmission or e-mail transmission (e.g. “pdf” or “tif”) shall be effective as delivery of a manually executed counterpart of this Amendment. 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 Without limiting the foregoing, upon the request of any party, such fax transmission or e-mail transmission shall be promptly followed by such manually executed counterpart.</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3.07      </w:t>
      </w:r>
      <w:r>
        <w:rPr>
          <w:rFonts w:ascii="Times New Roman" w:cs="Times New Roman" w:eastAsia="Times New Roman" w:hAnsi="Times New Roman"/>
          <w:sz w:val="18"/>
          <w:szCs w:val="18"/>
          <w:b w:val="1"/>
          <w:bCs w:val="1"/>
          <w:u w:val="single" w:color="auto"/>
          <w:color w:val="auto"/>
        </w:rPr>
        <w:t>  No Actions, Claims, Etc</w:t>
      </w:r>
      <w:r>
        <w:rPr>
          <w:rFonts w:ascii="Times New Roman" w:cs="Times New Roman" w:eastAsia="Times New Roman" w:hAnsi="Times New Roman"/>
          <w:sz w:val="18"/>
          <w:szCs w:val="18"/>
          <w:color w:val="auto"/>
        </w:rPr>
        <w:t>. As of the date hereof, each of the Loan Parties hereby acknowledges and confirms that it has no knowledge of any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causes of action, claims, demands, damages and liabilities of whatever kind or nature, in law or in equity, against the Administrative Agent, the Lenders, or the Administrative Agent’s or the Lenders’ respective officers, employees, representatives, agents, counsel or directors arising from any action by such Persons, or failure of such Persons to act under the Credit Agreement on or prior to the date hereof.</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3.08      </w:t>
      </w:r>
      <w:r>
        <w:rPr>
          <w:rFonts w:ascii="Times New Roman" w:cs="Times New Roman" w:eastAsia="Times New Roman" w:hAnsi="Times New Roman"/>
          <w:sz w:val="18"/>
          <w:szCs w:val="18"/>
          <w:b w:val="1"/>
          <w:bCs w:val="1"/>
          <w:u w:val="single" w:color="auto"/>
          <w:color w:val="auto"/>
        </w:rPr>
        <w:t>  GOVERNING LAW</w:t>
      </w:r>
      <w:r>
        <w:rPr>
          <w:rFonts w:ascii="Times New Roman" w:cs="Times New Roman" w:eastAsia="Times New Roman" w:hAnsi="Times New Roman"/>
          <w:sz w:val="18"/>
          <w:szCs w:val="18"/>
          <w:color w:val="auto"/>
        </w:rPr>
        <w:t>. THIS AMENDMENT SHALL BE CONSTRUED IN ACCORDANCE WITH AND GOVERNED BY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NEW YORK.</w:t>
      </w:r>
    </w:p>
    <w:p>
      <w:pPr>
        <w:spacing w:after="0" w:line="15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3.09</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Amendment shall be binding upon and inure to the benefit of the parties hereto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3.10       </w:t>
      </w:r>
      <w:r>
        <w:rPr>
          <w:rFonts w:ascii="Times New Roman" w:cs="Times New Roman" w:eastAsia="Times New Roman" w:hAnsi="Times New Roman"/>
          <w:sz w:val="18"/>
          <w:szCs w:val="18"/>
          <w:b w:val="1"/>
          <w:bCs w:val="1"/>
          <w:u w:val="single" w:color="auto"/>
          <w:color w:val="auto"/>
        </w:rPr>
        <w:t>Jurisdiction; Consent to Services of Process; Waiver of Jury Trial</w:t>
      </w:r>
      <w:r>
        <w:rPr>
          <w:rFonts w:ascii="Times New Roman" w:cs="Times New Roman" w:eastAsia="Times New Roman" w:hAnsi="Times New Roman"/>
          <w:sz w:val="18"/>
          <w:szCs w:val="18"/>
          <w:color w:val="auto"/>
        </w:rPr>
        <w:t>. The jurisdiction, service of process and waiver of jury trial provisions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Sections 11.14(b), 11.14(c), 11.14(d) and 11.15 of the Credit Agreement are hereby incorporated into this Amendment by reference, mutatis mutandis.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3.11      </w:t>
      </w:r>
      <w:r>
        <w:rPr>
          <w:rFonts w:ascii="Times New Roman" w:cs="Times New Roman" w:eastAsia="Times New Roman" w:hAnsi="Times New Roman"/>
          <w:sz w:val="18"/>
          <w:szCs w:val="18"/>
          <w:b w:val="1"/>
          <w:bCs w:val="1"/>
          <w:u w:val="single" w:color="auto"/>
          <w:color w:val="auto"/>
        </w:rPr>
        <w:t>  General Release</w:t>
      </w:r>
      <w:r>
        <w:rPr>
          <w:rFonts w:ascii="Times New Roman" w:cs="Times New Roman" w:eastAsia="Times New Roman" w:hAnsi="Times New Roman"/>
          <w:sz w:val="18"/>
          <w:szCs w:val="18"/>
          <w:color w:val="auto"/>
        </w:rPr>
        <w:t>. In consideration of the Administrative Agent’s willingness to enter into this Amendment, on behalf of the Lenders, each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hereby releases and forever discharges the Administrative Agent, the L/C Issuer, the Swingline Lender, the Lenders and each of the foregoing’s respective predecessors, successors, assigns, officers, managers, directors, employees, agents, attorneys, representatives, and affiliates, of and from any and all manner of actions, causes of action, suit, debts, accounts, covenants, contracts, controversies, agreements, variances, damages, judgments, claims, liabilities, obligations, affirmative defenses, counterclaims, setoffs and demands whatsoever, whether known or unknown, foreseen or unforeseen, asserted or unasserted, in law, equity or otherwise, whether for tort, fraud, contract, violations of federal or state laws, or otherwise, that any Loan Party would have been legally entitled to assert, based on, relating to, or in any manner arising from, in whole or in part, which arise out of or are related to this Amendment, the Credit Agreement, the other Loan Documents, the Secured Obligations or the Collateral and the transactions contemplated thereby (any of the foregoing, a “</w:t>
      </w:r>
      <w:r>
        <w:rPr>
          <w:rFonts w:ascii="Times New Roman" w:cs="Times New Roman" w:eastAsia="Times New Roman" w:hAnsi="Times New Roman"/>
          <w:sz w:val="18"/>
          <w:szCs w:val="18"/>
          <w:u w:val="single" w:color="auto"/>
          <w:color w:val="auto"/>
        </w:rPr>
        <w:t>Released Claim</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Without limiting the generality of the foregoing, each Loan Party absolutely, unconditionally and irrevocably waives and affirmatively agrees not to allege or otherwise pursue any of the Released Claims, or any defenses, affirmative defenses, counterclaims, claims, causes of action, setoffs or other rights they have or may have under, or in connection with, any Released Claim released and/or discharged by the Loan Parties pursuant to this Section 3.11. The foregoing release, covenant and waivers of this Section 3.11 shall survive and remain in full force and effect regardless of the consummation of the transactions contemplated hereby, the repayment or prepayment of any of the Loans, or the termination of the Credit Agreement, this Amendment, any other Loan Document or any provision hereof or thereof.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on the date first above written.</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BORROWER:</w:t>
      </w:r>
      <w:r>
        <w:rPr>
          <w:sz w:val="20"/>
          <w:szCs w:val="20"/>
          <w:color w:val="auto"/>
        </w:rPr>
        <w:tab/>
      </w:r>
      <w:r>
        <w:rPr>
          <w:rFonts w:ascii="Times New Roman" w:cs="Times New Roman" w:eastAsia="Times New Roman" w:hAnsi="Times New Roman"/>
          <w:sz w:val="18"/>
          <w:szCs w:val="18"/>
          <w:color w:val="auto"/>
        </w:rPr>
        <w:t>VISKASE COMPANIES,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Blecic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Blecic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Chief Financial Officer and Treasurer</w:t>
      </w:r>
    </w:p>
    <w:p>
      <w:pPr>
        <w:spacing w:after="0" w:line="20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GUARANTORS:</w:t>
      </w:r>
      <w:r>
        <w:rPr>
          <w:sz w:val="20"/>
          <w:szCs w:val="20"/>
          <w:color w:val="auto"/>
        </w:rPr>
        <w:tab/>
      </w:r>
      <w:r>
        <w:rPr>
          <w:rFonts w:ascii="Times New Roman" w:cs="Times New Roman" w:eastAsia="Times New Roman" w:hAnsi="Times New Roman"/>
          <w:sz w:val="18"/>
          <w:szCs w:val="18"/>
          <w:color w:val="auto"/>
        </w:rPr>
        <w:t>VISKASE FILMS,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Blecic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Blecic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Chief Financial Officer, and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WSC CORP.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Blecic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Blecic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Chief Financial Officer, and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VISKASE DEL NORTE, S.A. DE C.V.</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Blecic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Blecic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Chief Financial Officer, and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SERVICIOS VISKASE DEL NORTE, S.A. DE C.V.</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Blecic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Blecic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Chief Financial Officer, and Treasurer</w:t>
      </w:r>
    </w:p>
    <w:p>
      <w:pPr>
        <w:spacing w:after="0" w:line="2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[Signature Page to Seventh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color w:val="auto"/>
        </w:rPr>
        <w:t>VISKASE SAS</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Dale Davis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Dale Davis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VISKASE GMBH</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Thomas Dale Davis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0</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Name: Thomas Dale Davis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Geschäftsführer/Managing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CT CASINGS BETEILIGUNGS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Dale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Thomas Dale Davis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Geschäftsführer/Managing Director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WALSRODER CASINGS GMBH</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Dale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Thomas Dale Davis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Geschäftsführer/Managing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VISKASE SPA</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Dale Davis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Dale Davis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[Signature Page to Seventh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 w:name="page11"/>
    <w:bookmarkEnd w:id="10"/>
    <w:p>
      <w:pPr>
        <w:ind w:left="4520"/>
        <w:spacing w:after="0"/>
        <w:rPr>
          <w:sz w:val="20"/>
          <w:szCs w:val="20"/>
          <w:color w:val="auto"/>
        </w:rPr>
      </w:pPr>
      <w:r>
        <w:rPr>
          <w:rFonts w:ascii="Times New Roman" w:cs="Times New Roman" w:eastAsia="Times New Roman" w:hAnsi="Times New Roman"/>
          <w:sz w:val="18"/>
          <w:szCs w:val="18"/>
          <w:color w:val="auto"/>
        </w:rPr>
        <w:t>VISKASE POLSKA SP. Z O.O.</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Dale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Thomas Dale Davis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of the Management Board</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VISKASE SPAIN SLU</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Dale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Thomas Dale Davis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(Administrador Solidario)</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VISKASE SALES PHILIPPINES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Arroyo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Mark Arroyo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VISKASE ASIA-PACIFIC CORP.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Arroyo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Mark Arroyo</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Seventh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Rose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Rose Thomas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individually as a Lender, L/C Issuer and Swingline Lender</w:t>
      </w:r>
    </w:p>
    <w:p>
      <w:pPr>
        <w:spacing w:after="0" w:line="218"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J. Maidman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Andrew J. Maidman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Seventh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 w:name="page13"/>
    <w:bookmarkEnd w:id="12"/>
    <w:p>
      <w:pPr>
        <w:ind w:left="4520"/>
        <w:spacing w:after="0"/>
        <w:rPr>
          <w:sz w:val="20"/>
          <w:szCs w:val="20"/>
          <w:color w:val="auto"/>
        </w:rPr>
      </w:pPr>
      <w:r>
        <w:rPr>
          <w:rFonts w:ascii="Times New Roman" w:cs="Times New Roman" w:eastAsia="Times New Roman" w:hAnsi="Times New Roman"/>
          <w:sz w:val="18"/>
          <w:szCs w:val="18"/>
          <w:color w:val="auto"/>
        </w:rPr>
        <w:t>BMO BANK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Constantine Bilitsis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Constantine Bilitsis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Seventh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 w:name="page14"/>
    <w:bookmarkEnd w:id="13"/>
    <w:p>
      <w:pPr>
        <w:ind w:left="4520"/>
        <w:spacing w:after="0"/>
        <w:rPr>
          <w:sz w:val="20"/>
          <w:szCs w:val="20"/>
          <w:color w:val="auto"/>
        </w:rPr>
      </w:pPr>
      <w:r>
        <w:rPr>
          <w:rFonts w:ascii="Times New Roman" w:cs="Times New Roman" w:eastAsia="Times New Roman" w:hAnsi="Times New Roman"/>
          <w:sz w:val="18"/>
          <w:szCs w:val="18"/>
          <w:color w:val="auto"/>
        </w:rPr>
        <w:t>ASSOCIATED BANK,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 Bergren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 Bergren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Seventh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 w:name="page15"/>
    <w:bookmarkEnd w:id="14"/>
    <w:p>
      <w:pPr>
        <w:ind w:left="4520"/>
        <w:spacing w:after="0"/>
        <w:rPr>
          <w:sz w:val="20"/>
          <w:szCs w:val="20"/>
          <w:color w:val="auto"/>
        </w:rPr>
      </w:pPr>
      <w:r>
        <w:rPr>
          <w:rFonts w:ascii="Times New Roman" w:cs="Times New Roman" w:eastAsia="Times New Roman" w:hAnsi="Times New Roman"/>
          <w:sz w:val="18"/>
          <w:szCs w:val="18"/>
          <w:color w:val="auto"/>
        </w:rPr>
        <w:t>CITIZENS BANK,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Besi Tsakiris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Besi Tsakiris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Seventh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Credit Agreement, as amended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 w:name="page17"/>
    <w:bookmarkEnd w:id="16"/>
    <w:p>
      <w:pPr>
        <w:ind w:left="9200"/>
        <w:spacing w:after="0"/>
        <w:rPr>
          <w:sz w:val="20"/>
          <w:szCs w:val="20"/>
          <w:color w:val="auto"/>
        </w:rPr>
      </w:pPr>
      <w:r>
        <w:rPr>
          <w:rFonts w:ascii="Times New Roman" w:cs="Times New Roman" w:eastAsia="Times New Roman" w:hAnsi="Times New Roman"/>
          <w:sz w:val="18"/>
          <w:szCs w:val="18"/>
          <w:u w:val="single" w:color="auto"/>
          <w:color w:val="0000FF"/>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154305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188595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Published CUSIP Number: 92835EAC1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Loan CUSIP Number: 92835EAD9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Loan CUSIP Number: 92835EAE7</w:t>
      </w:r>
    </w:p>
    <w:p>
      <w:pPr>
        <w:spacing w:after="0" w:line="20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dated as of October 9, 2020</w:t>
      </w:r>
    </w:p>
    <w:p>
      <w:pPr>
        <w:spacing w:after="0" w:line="207" w:lineRule="exact"/>
        <w:rPr>
          <w:sz w:val="20"/>
          <w:szCs w:val="20"/>
          <w:color w:val="auto"/>
        </w:rPr>
      </w:pPr>
    </w:p>
    <w:p>
      <w:pPr>
        <w:jc w:val="center"/>
        <w:ind w:right="120"/>
        <w:spacing w:after="0" w:line="259" w:lineRule="auto"/>
        <w:rPr>
          <w:sz w:val="20"/>
          <w:szCs w:val="20"/>
          <w:color w:val="auto"/>
        </w:rPr>
      </w:pPr>
      <w:r>
        <w:rPr>
          <w:rFonts w:ascii="Times New Roman" w:cs="Times New Roman" w:eastAsia="Times New Roman" w:hAnsi="Times New Roman"/>
          <w:sz w:val="18"/>
          <w:szCs w:val="18"/>
          <w:color w:val="auto"/>
        </w:rPr>
        <w:t xml:space="preserve">as amended by the First Amendment to Credit Agreement dated as of August 13, 2021, the Second Amendment to Credit Agreement dated as of August 10, 2022, the Limited Waiver and Third Amendment to Credit Agreement dated as of February 14, 2025, the Fourth Amendment to Credit Agreement dated as of July 25, 2025, the Fifth Amendment to Credit Agreement dated as of October 10, 2025, </w:t>
      </w:r>
      <w:r>
        <w:rPr>
          <w:rFonts w:ascii="Times New Roman" w:cs="Times New Roman" w:eastAsia="Times New Roman" w:hAnsi="Times New Roman"/>
          <w:sz w:val="18"/>
          <w:szCs w:val="18"/>
          <w:color w:val="FF0000"/>
          <w:strike w:val="1"/>
        </w:rPr>
        <w:t>and as further amended by</w:t>
      </w:r>
      <w:r>
        <w:rPr>
          <w:rFonts w:ascii="Times New Roman" w:cs="Times New Roman" w:eastAsia="Times New Roman" w:hAnsi="Times New Roman"/>
          <w:sz w:val="18"/>
          <w:szCs w:val="18"/>
          <w:color w:val="auto"/>
        </w:rPr>
        <w:t xml:space="preserve"> the Limited Waiver and Sixth Amendment to Credit Agreement dated as of January 23, 2026 </w:t>
      </w:r>
      <w:r>
        <w:rPr>
          <w:rFonts w:ascii="Times New Roman" w:cs="Times New Roman" w:eastAsia="Times New Roman" w:hAnsi="Times New Roman"/>
          <w:sz w:val="18"/>
          <w:szCs w:val="18"/>
          <w:u w:val="single" w:color="auto"/>
          <w:color w:val="0000FF"/>
        </w:rPr>
        <w:t>and the Seventh Amendment to Credit Agreement dated as of April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2026</w:t>
      </w:r>
    </w:p>
    <w:p>
      <w:pPr>
        <w:spacing w:after="0" w:line="200" w:lineRule="exact"/>
        <w:rPr>
          <w:sz w:val="20"/>
          <w:szCs w:val="20"/>
          <w:color w:val="auto"/>
        </w:rPr>
      </w:pPr>
    </w:p>
    <w:p>
      <w:pPr>
        <w:spacing w:after="0" w:line="2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u w:val="single" w:color="auto"/>
          <w:color w:val="0000FF"/>
        </w:rPr>
        <w:t>VISKASE COMPANIES, LLC (f/k/a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VISKASE COMPANIES, INC.</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CERTAIN SUBSIDIARIES OF THE BORROWER PARTY HERETO,</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 the Guarantors,</w:t>
      </w: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 Administrative Agent</w:t>
      </w:r>
      <w:r>
        <w:rPr>
          <w:rFonts w:ascii="Times New Roman" w:cs="Times New Roman" w:eastAsia="Times New Roman" w:hAnsi="Times New Roman"/>
          <w:sz w:val="18"/>
          <w:szCs w:val="18"/>
          <w:color w:val="FF0000"/>
          <w:strike w:val="1"/>
        </w:rPr>
        <w:t>, Swingline Lender</w:t>
      </w:r>
      <w:r>
        <w:rPr>
          <w:rFonts w:ascii="Times New Roman" w:cs="Times New Roman" w:eastAsia="Times New Roman" w:hAnsi="Times New Roman"/>
          <w:sz w:val="18"/>
          <w:szCs w:val="18"/>
          <w:color w:val="auto"/>
        </w:rPr>
        <w:t xml:space="preserve"> and</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L/C Issuer,</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BMO BANK N.A.,</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as Syndication Agent</w:t>
      </w:r>
    </w:p>
    <w:p>
      <w:pPr>
        <w:spacing w:after="0" w:line="20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 Joint Lead Arrangers</w:t>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177165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203200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511810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0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8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499"/>
        </w:trPr>
        <w:tc>
          <w:tcPr>
            <w:tcW w:w="88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ARTICLE I. DEFINITIONS AND ACCOUNTING TERMS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351"/>
        </w:trPr>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1.01.</w:t>
            </w: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Defined Terms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10"/>
        </w:trPr>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1.02.</w:t>
            </w: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42</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1.03.</w:t>
            </w: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Accounting Terms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43</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1.04.</w:t>
            </w: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Rounding</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43</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1.05.</w:t>
            </w: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Times of Day</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44</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1.06.</w:t>
            </w: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Letter of Credit Amounts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44</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1.07.</w:t>
            </w: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UCC Terms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44</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1.08.</w:t>
            </w: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Rates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44</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1.09.</w:t>
            </w: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Limited Condition Acquisitions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44</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r>
        <w:trPr>
          <w:trHeight w:val="20"/>
        </w:trPr>
        <w:tc>
          <w:tcPr>
            <w:tcW w:w="24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ARTICLE II. COMMITMENTS AND CREDIT EXTENSIONS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FF0000"/>
                <w:strike w:val="1"/>
                <w:w w:val="88"/>
              </w:rPr>
              <w:t>45</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48</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2.01.</w:t>
            </w: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Loans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45</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2.02.</w:t>
            </w: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46</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2.03.</w:t>
            </w: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Letters of Credit</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48</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2.04.</w:t>
            </w:r>
          </w:p>
        </w:tc>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FF0000"/>
                <w:strike w:val="1"/>
                <w:w w:val="98"/>
              </w:rPr>
              <w:t>Swingline Loans</w:t>
            </w:r>
            <w:r>
              <w:rPr>
                <w:rFonts w:ascii="Times New Roman" w:cs="Times New Roman" w:eastAsia="Times New Roman" w:hAnsi="Times New Roman"/>
                <w:sz w:val="18"/>
                <w:szCs w:val="18"/>
                <w:b w:val="1"/>
                <w:bCs w:val="1"/>
                <w:color w:val="FF0000"/>
                <w:strike w:val="1"/>
                <w:w w:val="98"/>
              </w:rPr>
              <w:t>.</w:t>
            </w: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5620" w:type="dxa"/>
            <w:vAlign w:val="bottom"/>
            <w:gridSpan w:val="5"/>
          </w:tcPr>
          <w:p>
            <w:pPr>
              <w:spacing w:after="0"/>
              <w:rPr>
                <w:sz w:val="24"/>
                <w:szCs w:val="24"/>
                <w:color w:val="auto"/>
              </w:rPr>
            </w:pP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56</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2.05.</w:t>
            </w:r>
          </w:p>
        </w:tc>
        <w:tc>
          <w:tcPr>
            <w:tcW w:w="1260" w:type="dxa"/>
            <w:vAlign w:val="bottom"/>
          </w:tcPr>
          <w:p>
            <w:pPr>
              <w:spacing w:after="0" w:line="20" w:lineRule="exact"/>
              <w:rPr>
                <w:sz w:val="1"/>
                <w:szCs w:val="1"/>
                <w:color w:val="auto"/>
              </w:rPr>
            </w:pPr>
          </w:p>
        </w:tc>
        <w:tc>
          <w:tcPr>
            <w:tcW w:w="84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Prepayments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59</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2.06.</w:t>
            </w:r>
          </w:p>
        </w:tc>
        <w:tc>
          <w:tcPr>
            <w:tcW w:w="24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61</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2.07.</w:t>
            </w:r>
          </w:p>
        </w:tc>
        <w:tc>
          <w:tcPr>
            <w:tcW w:w="24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Repayment of Loans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62</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2.08.</w:t>
            </w:r>
          </w:p>
        </w:tc>
        <w:tc>
          <w:tcPr>
            <w:tcW w:w="24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Interest and Default Rate</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63</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2.09.</w:t>
            </w:r>
          </w:p>
        </w:tc>
        <w:tc>
          <w:tcPr>
            <w:tcW w:w="24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Fees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64</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2.10.</w:t>
            </w:r>
          </w:p>
        </w:tc>
        <w:tc>
          <w:tcPr>
            <w:tcW w:w="2400" w:type="dxa"/>
            <w:vAlign w:val="bottom"/>
            <w:gridSpan w:val="3"/>
          </w:tcPr>
          <w:p>
            <w:pPr>
              <w:spacing w:after="0" w:line="20" w:lineRule="exact"/>
              <w:rPr>
                <w:sz w:val="1"/>
                <w:szCs w:val="1"/>
                <w:color w:val="auto"/>
              </w:rPr>
            </w:pPr>
          </w:p>
        </w:tc>
        <w:tc>
          <w:tcPr>
            <w:tcW w:w="3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99"/>
              </w:rPr>
              <w:t xml:space="preserve">; </w:t>
            </w:r>
            <w:r>
              <w:rPr>
                <w:rFonts w:ascii="Times New Roman" w:cs="Times New Roman" w:eastAsia="Times New Roman" w:hAnsi="Times New Roman"/>
                <w:sz w:val="18"/>
                <w:szCs w:val="18"/>
                <w:color w:val="FF0000"/>
                <w:strike w:val="1"/>
                <w:w w:val="99"/>
              </w:rPr>
              <w:t>Retroactive Adjustments of Applicable Rate</w:t>
            </w: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Computation of Interest and Fees</w:t>
            </w:r>
          </w:p>
        </w:tc>
        <w:tc>
          <w:tcPr>
            <w:tcW w:w="3300" w:type="dxa"/>
            <w:vAlign w:val="bottom"/>
            <w:gridSpan w:val="3"/>
            <w:vMerge w:val="continue"/>
          </w:tcPr>
          <w:p>
            <w:pPr>
              <w:spacing w:after="0"/>
              <w:rPr>
                <w:sz w:val="24"/>
                <w:szCs w:val="24"/>
                <w:color w:val="auto"/>
              </w:rPr>
            </w:pPr>
          </w:p>
        </w:tc>
        <w:tc>
          <w:tcPr>
            <w:tcW w:w="2020" w:type="dxa"/>
            <w:vAlign w:val="bottom"/>
          </w:tcPr>
          <w:p>
            <w:pPr>
              <w:spacing w:after="0"/>
              <w:rPr>
                <w:sz w:val="24"/>
                <w:szCs w:val="24"/>
                <w:color w:val="auto"/>
              </w:rPr>
            </w:pP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65</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2.11.</w:t>
            </w:r>
          </w:p>
        </w:tc>
        <w:tc>
          <w:tcPr>
            <w:tcW w:w="33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Evidence of Debt</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65</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2.12.</w:t>
            </w:r>
          </w:p>
        </w:tc>
        <w:tc>
          <w:tcPr>
            <w:tcW w:w="33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66</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2.13.</w:t>
            </w:r>
          </w:p>
        </w:tc>
        <w:tc>
          <w:tcPr>
            <w:tcW w:w="33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68</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2.14.</w:t>
            </w:r>
          </w:p>
        </w:tc>
        <w:tc>
          <w:tcPr>
            <w:tcW w:w="33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Cash Collateral</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69</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2.15.</w:t>
            </w:r>
          </w:p>
        </w:tc>
        <w:tc>
          <w:tcPr>
            <w:tcW w:w="33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Defaulting Lenders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70</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2.16.</w:t>
            </w:r>
          </w:p>
        </w:tc>
        <w:tc>
          <w:tcPr>
            <w:tcW w:w="33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3300" w:type="dxa"/>
            <w:vAlign w:val="bottom"/>
            <w:gridSpan w:val="4"/>
          </w:tcPr>
          <w:p>
            <w:pPr>
              <w:spacing w:after="0"/>
              <w:rPr>
                <w:sz w:val="20"/>
                <w:szCs w:val="20"/>
                <w:color w:val="auto"/>
              </w:rPr>
            </w:pPr>
            <w:r>
              <w:rPr>
                <w:rFonts w:ascii="Times New Roman" w:cs="Times New Roman" w:eastAsia="Times New Roman" w:hAnsi="Times New Roman"/>
                <w:sz w:val="18"/>
                <w:szCs w:val="18"/>
                <w:color w:val="FF0000"/>
                <w:strike w:val="1"/>
                <w:w w:val="99"/>
              </w:rPr>
              <w:t>Increase in Commitments; Borrower Request.</w:t>
            </w:r>
          </w:p>
        </w:tc>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3580" w:type="dxa"/>
            <w:vAlign w:val="bottom"/>
            <w:gridSpan w:val="2"/>
          </w:tcPr>
          <w:p>
            <w:pPr>
              <w:spacing w:after="0"/>
              <w:rPr>
                <w:sz w:val="24"/>
                <w:szCs w:val="24"/>
                <w:color w:val="auto"/>
              </w:rPr>
            </w:pP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72</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2.17.</w:t>
            </w:r>
          </w:p>
        </w:tc>
        <w:tc>
          <w:tcPr>
            <w:tcW w:w="3300" w:type="dxa"/>
            <w:vAlign w:val="bottom"/>
            <w:gridSpan w:val="4"/>
          </w:tcPr>
          <w:p>
            <w:pPr>
              <w:spacing w:after="0" w:line="20" w:lineRule="exact"/>
              <w:rPr>
                <w:sz w:val="1"/>
                <w:szCs w:val="1"/>
                <w:color w:val="auto"/>
              </w:rPr>
            </w:pPr>
          </w:p>
        </w:tc>
        <w:tc>
          <w:tcPr>
            <w:tcW w:w="840" w:type="dxa"/>
            <w:vAlign w:val="bottom"/>
            <w:tcBorders>
              <w:bottom w:val="single" w:sz="8" w:color="0000FF"/>
            </w:tcBorders>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Affiliated Lender Term Loan Purchases</w:t>
            </w:r>
          </w:p>
        </w:tc>
        <w:tc>
          <w:tcPr>
            <w:tcW w:w="2200" w:type="dxa"/>
            <w:vAlign w:val="bottom"/>
          </w:tcPr>
          <w:p>
            <w:pPr>
              <w:ind w:left="2020"/>
              <w:spacing w:after="0"/>
              <w:rPr>
                <w:sz w:val="20"/>
                <w:szCs w:val="20"/>
                <w:color w:val="auto"/>
              </w:rPr>
            </w:pPr>
            <w:r>
              <w:rPr>
                <w:rFonts w:ascii="Times New Roman" w:cs="Times New Roman" w:eastAsia="Times New Roman" w:hAnsi="Times New Roman"/>
                <w:sz w:val="18"/>
                <w:szCs w:val="18"/>
                <w:color w:val="FF0000"/>
                <w:strike w:val="1"/>
                <w:w w:val="88"/>
              </w:rPr>
              <w:t>75</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33"/>
        </w:trPr>
        <w:tc>
          <w:tcPr>
            <w:tcW w:w="10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ARTICLE III. TAXES, YIELD PROTECTION AND ILLEGALITY</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76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79</w:t>
            </w:r>
          </w:p>
        </w:tc>
        <w:tc>
          <w:tcPr>
            <w:tcW w:w="0" w:type="dxa"/>
            <w:vAlign w:val="bottom"/>
          </w:tcPr>
          <w:p>
            <w:pPr>
              <w:spacing w:after="0" w:line="20" w:lineRule="exact"/>
              <w:rPr>
                <w:sz w:val="1"/>
                <w:szCs w:val="1"/>
                <w:color w:val="auto"/>
              </w:rPr>
            </w:pPr>
          </w:p>
        </w:tc>
      </w:tr>
      <w:tr>
        <w:trPr>
          <w:trHeight w:val="179"/>
        </w:trPr>
        <w:tc>
          <w:tcPr>
            <w:tcW w:w="10800" w:type="dxa"/>
            <w:vAlign w:val="bottom"/>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8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3.01.</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76</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3.02.</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Illegality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79</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3.03.</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80</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3.04.</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Increased Costs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82</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3.05.</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for Losses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83</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3.06.</w:t>
            </w:r>
          </w:p>
        </w:tc>
        <w:tc>
          <w:tcPr>
            <w:tcW w:w="98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Mitigation Obligations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Replacement of Lenders</w:t>
            </w: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vMerge w:val="continue"/>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84</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3.07.</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84</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0" w:type="dxa"/>
            <w:vAlign w:val="bottom"/>
          </w:tcPr>
          <w:p>
            <w:pPr>
              <w:spacing w:after="0"/>
              <w:rPr>
                <w:sz w:val="1"/>
                <w:szCs w:val="1"/>
                <w:color w:val="auto"/>
              </w:rPr>
            </w:pPr>
          </w:p>
        </w:tc>
      </w:tr>
      <w:tr>
        <w:trPr>
          <w:trHeight w:val="20"/>
        </w:trPr>
        <w:tc>
          <w:tcPr>
            <w:tcW w:w="10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CONDITIONS PRECEDENT TO CREDIT EXTENSIONS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85</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89</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4.01.</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of Initial Credit Extension</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85</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4.02.</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87</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91</w:t>
            </w:r>
          </w:p>
        </w:tc>
        <w:tc>
          <w:tcPr>
            <w:tcW w:w="0" w:type="dxa"/>
            <w:vAlign w:val="bottom"/>
          </w:tcPr>
          <w:p>
            <w:pPr>
              <w:spacing w:after="0"/>
              <w:rPr>
                <w:sz w:val="1"/>
                <w:szCs w:val="1"/>
                <w:color w:val="auto"/>
              </w:rPr>
            </w:pPr>
          </w:p>
        </w:tc>
      </w:tr>
      <w:tr>
        <w:trPr>
          <w:trHeight w:val="20"/>
        </w:trPr>
        <w:tc>
          <w:tcPr>
            <w:tcW w:w="10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88</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92</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5.01.</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Organization; Power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88</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5.02.</w:t>
            </w:r>
          </w:p>
        </w:tc>
        <w:tc>
          <w:tcPr>
            <w:tcW w:w="98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Authorization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No Conflict</w:t>
            </w: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vMerge w:val="continue"/>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88</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5.03.</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Enforceability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88</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5.04.</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Governmental Approvals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89</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5.05.</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89</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5.06.</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Material Adverse Change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89</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5.07.</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 to Properties; Possession Under Leases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89</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5.08.</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5.09.</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Compliance with Laws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5.10.</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5.11.</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90</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5.12.</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Company Act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91</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5.13.</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Returns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91</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5.14.</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Material Misstatements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91</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5.15.</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 Plans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91</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5.16.</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Matters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5.17.</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92</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97</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5.18.</w:t>
            </w:r>
          </w:p>
        </w:tc>
        <w:tc>
          <w:tcPr>
            <w:tcW w:w="98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Sanctions Concerns and Anti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Corruption Laws</w:t>
            </w: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vMerge w:val="continue"/>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97</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5.19.</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 Documents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rPr>
              <w:t>93</w:t>
            </w: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98</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5.20.</w:t>
            </w: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Location of Real Property and Leased Premises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95</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100</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5.21.</w:t>
            </w:r>
          </w:p>
        </w:tc>
        <w:tc>
          <w:tcPr>
            <w:tcW w:w="98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FDA and USDA, Permits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95</w:t>
            </w:r>
          </w:p>
        </w:tc>
        <w:tc>
          <w:tcPr>
            <w:tcW w:w="2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100</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5.22.</w:t>
            </w:r>
          </w:p>
        </w:tc>
        <w:tc>
          <w:tcPr>
            <w:tcW w:w="98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 Matters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96</w:t>
            </w:r>
          </w:p>
        </w:tc>
        <w:tc>
          <w:tcPr>
            <w:tcW w:w="2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100</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5.23.</w:t>
            </w:r>
          </w:p>
        </w:tc>
        <w:tc>
          <w:tcPr>
            <w:tcW w:w="98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96</w:t>
            </w:r>
          </w:p>
        </w:tc>
        <w:tc>
          <w:tcPr>
            <w:tcW w:w="2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100</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5.24.</w:t>
            </w:r>
          </w:p>
        </w:tc>
        <w:tc>
          <w:tcPr>
            <w:tcW w:w="98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Solvency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96</w:t>
            </w:r>
          </w:p>
        </w:tc>
        <w:tc>
          <w:tcPr>
            <w:tcW w:w="2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101</w:t>
            </w:r>
          </w:p>
        </w:tc>
        <w:tc>
          <w:tcPr>
            <w:tcW w:w="0" w:type="dxa"/>
            <w:vAlign w:val="bottom"/>
          </w:tcPr>
          <w:p>
            <w:pPr>
              <w:spacing w:after="0"/>
              <w:rPr>
                <w:sz w:val="1"/>
                <w:szCs w:val="1"/>
                <w:color w:val="auto"/>
              </w:rPr>
            </w:pPr>
          </w:p>
        </w:tc>
      </w:tr>
      <w:tr>
        <w:trPr>
          <w:trHeight w:val="20"/>
        </w:trPr>
        <w:tc>
          <w:tcPr>
            <w:tcW w:w="1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5.25.</w:t>
            </w:r>
          </w:p>
        </w:tc>
        <w:tc>
          <w:tcPr>
            <w:tcW w:w="98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vMerge w:val="continue"/>
          </w:tcPr>
          <w:p>
            <w:pPr>
              <w:spacing w:after="0"/>
              <w:rPr>
                <w:sz w:val="24"/>
                <w:szCs w:val="24"/>
                <w:color w:val="auto"/>
              </w:rPr>
            </w:pPr>
          </w:p>
        </w:tc>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Burdensome Restrictions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96</w:t>
            </w:r>
          </w:p>
        </w:tc>
        <w:tc>
          <w:tcPr>
            <w:tcW w:w="2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33"/>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5.26.</w:t>
            </w:r>
          </w:p>
        </w:tc>
        <w:tc>
          <w:tcPr>
            <w:tcW w:w="95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rPr>
              <w:t>97</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101</w:t>
            </w:r>
          </w:p>
        </w:tc>
        <w:tc>
          <w:tcPr>
            <w:tcW w:w="0" w:type="dxa"/>
            <w:vAlign w:val="bottom"/>
          </w:tcPr>
          <w:p>
            <w:pPr>
              <w:spacing w:after="0" w:line="20" w:lineRule="exact"/>
              <w:rPr>
                <w:sz w:val="1"/>
                <w:szCs w:val="1"/>
                <w:color w:val="auto"/>
              </w:rPr>
            </w:pPr>
          </w:p>
        </w:tc>
      </w:tr>
      <w:tr>
        <w:trPr>
          <w:trHeight w:val="179"/>
        </w:trPr>
        <w:tc>
          <w:tcPr>
            <w:tcW w:w="1140" w:type="dxa"/>
            <w:vAlign w:val="bottom"/>
            <w:vMerge w:val="continue"/>
          </w:tcPr>
          <w:p>
            <w:pPr>
              <w:spacing w:after="0"/>
              <w:rPr>
                <w:sz w:val="15"/>
                <w:szCs w:val="15"/>
                <w:color w:val="auto"/>
              </w:rPr>
            </w:pPr>
          </w:p>
        </w:tc>
        <w:tc>
          <w:tcPr>
            <w:tcW w:w="9560" w:type="dxa"/>
            <w:vAlign w:val="bottom"/>
            <w:gridSpan w:val="7"/>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Borders>
              <w:bottom w:val="single" w:sz="8" w:color="0000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5.27.</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97</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101</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5.28.</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Senior Indebtedness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97</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101</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5.29.</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Representations as to Foreign Obligors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97</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5.30.</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EEA Financial Institutions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97</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5.31.</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Covered Entities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97</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5.32.</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Beneficial Ownership Certification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98</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0000FF"/>
              </w:rPr>
              <w:t>5.33.</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Outbound Investment Rule</w:t>
            </w:r>
          </w:p>
        </w:tc>
        <w:tc>
          <w:tcPr>
            <w:tcW w:w="758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7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ARTICLE VI. AFFIRMATIVE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98</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102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6.01.</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Existence; Compliance with Laws; Business and Properties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98</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6.02.</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98</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6.03.</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Payment of Obligations and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99</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104</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6.04.</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Financial Statements, Reports,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99</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104</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6.05.</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Litigation and Other Notices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102</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108</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6.06.</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Information Regarding Collateral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103</w:t>
            </w:r>
          </w:p>
        </w:tc>
        <w:tc>
          <w:tcPr>
            <w:tcW w:w="2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108</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6.07.</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Maintaining Records; Access to Properties and Inspections; Annual Meetings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103</w:t>
            </w:r>
          </w:p>
        </w:tc>
        <w:tc>
          <w:tcPr>
            <w:tcW w:w="2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109</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6.08.</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103</w:t>
            </w:r>
          </w:p>
        </w:tc>
        <w:tc>
          <w:tcPr>
            <w:tcW w:w="2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109</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6.09.</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103</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110</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6.10.</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Compliance with Environmental Laws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104</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110</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6.11.</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Environmental Reporting</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104</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110</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6.12.</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Further Assurances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104</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111</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6.13.</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Designation of Subsidiaries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106</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112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6.14.</w:t>
            </w:r>
          </w:p>
        </w:tc>
        <w:tc>
          <w:tcPr>
            <w:tcW w:w="95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Anti-Corruption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Sanctions</w:t>
            </w:r>
          </w:p>
        </w:tc>
        <w:tc>
          <w:tcPr>
            <w:tcW w:w="300" w:type="dxa"/>
            <w:vAlign w:val="bottom"/>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vMerge w:val="continue"/>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106</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113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6.15.</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Approvals and Authorizations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107</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113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6.16.</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Cash Management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107</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113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6.17.</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Post-Closing Requirements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107</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113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6.18.</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Cooperation with Administrative Agent’s Financial Advisor</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107</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114</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0000FF"/>
              </w:rPr>
              <w:t>6.19.</w:t>
            </w: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1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Monthly Conferences</w:t>
            </w:r>
          </w:p>
        </w:tc>
        <w:tc>
          <w:tcPr>
            <w:tcW w:w="7980" w:type="dxa"/>
            <w:vAlign w:val="bottom"/>
            <w:gridSpan w:val="5"/>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114</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0000FF"/>
              </w:rPr>
              <w:t>6.20.</w:t>
            </w:r>
          </w:p>
        </w:tc>
        <w:tc>
          <w:tcPr>
            <w:tcW w:w="1560" w:type="dxa"/>
            <w:vAlign w:val="bottom"/>
            <w:tcBorders>
              <w:bottom w:val="single" w:sz="8" w:color="0000FF"/>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1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Real Property Information</w:t>
            </w:r>
          </w:p>
        </w:tc>
        <w:tc>
          <w:tcPr>
            <w:tcW w:w="7640" w:type="dxa"/>
            <w:vAlign w:val="bottom"/>
            <w:gridSpan w:val="3"/>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114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00" w:type="dxa"/>
            <w:vAlign w:val="bottom"/>
            <w:tcBorders>
              <w:bottom w:val="single" w:sz="8" w:color="0000FF"/>
            </w:tcBorders>
            <w:gridSpan w:val="3"/>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7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ARTICLE VII. NEGATIVE COVENANTS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108</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1"/>
              </w:rPr>
              <w:t>114</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7.01.</w:t>
            </w:r>
          </w:p>
        </w:tc>
        <w:tc>
          <w:tcPr>
            <w:tcW w:w="95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108</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114</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7.02.</w:t>
            </w:r>
          </w:p>
        </w:tc>
        <w:tc>
          <w:tcPr>
            <w:tcW w:w="95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Liens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110</w:t>
            </w: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117</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7.03.</w:t>
            </w:r>
          </w:p>
        </w:tc>
        <w:tc>
          <w:tcPr>
            <w:tcW w:w="9560" w:type="dxa"/>
            <w:vAlign w:val="bottom"/>
            <w:gridSpan w:val="7"/>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Investments, Loans and Advances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112</w:t>
            </w:r>
          </w:p>
        </w:tc>
        <w:tc>
          <w:tcPr>
            <w:tcW w:w="2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1"/>
              </w:rPr>
              <w:t>119</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7.04.</w:t>
            </w:r>
          </w:p>
        </w:tc>
        <w:tc>
          <w:tcPr>
            <w:tcW w:w="95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Mergers, Consolidations and Acquisitions; Sales of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113</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33"/>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7.05.</w:t>
            </w:r>
          </w:p>
        </w:tc>
        <w:tc>
          <w:tcPr>
            <w:tcW w:w="9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Restricted Payments; Restrictive Agreements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122</w:t>
            </w:r>
          </w:p>
        </w:tc>
        <w:tc>
          <w:tcPr>
            <w:tcW w:w="0" w:type="dxa"/>
            <w:vAlign w:val="bottom"/>
          </w:tcPr>
          <w:p>
            <w:pPr>
              <w:spacing w:after="0" w:line="20" w:lineRule="exact"/>
              <w:rPr>
                <w:sz w:val="1"/>
                <w:szCs w:val="1"/>
                <w:color w:val="auto"/>
              </w:rPr>
            </w:pPr>
          </w:p>
        </w:tc>
      </w:tr>
      <w:tr>
        <w:trPr>
          <w:trHeight w:val="179"/>
        </w:trPr>
        <w:tc>
          <w:tcPr>
            <w:tcW w:w="1140" w:type="dxa"/>
            <w:vAlign w:val="bottom"/>
            <w:vMerge w:val="continue"/>
          </w:tcPr>
          <w:p>
            <w:pPr>
              <w:spacing w:after="0"/>
              <w:rPr>
                <w:sz w:val="15"/>
                <w:szCs w:val="15"/>
                <w:color w:val="auto"/>
              </w:rPr>
            </w:pPr>
          </w:p>
        </w:tc>
        <w:tc>
          <w:tcPr>
            <w:tcW w:w="956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7.06.</w:t>
            </w: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117</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124</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7.07.</w:t>
            </w: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of the Borrower and the Restricted Subsidiaries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117</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125</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7.08.</w:t>
            </w: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Indebtedness and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117</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125</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7.09.</w:t>
            </w: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118</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125</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7.10.</w:t>
            </w: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 and Leaseback Transaction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118</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125</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7.11.</w:t>
            </w: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118</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126</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7.12.</w:t>
            </w: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119</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127</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7.13.</w:t>
            </w:r>
          </w:p>
        </w:tc>
        <w:tc>
          <w:tcPr>
            <w:tcW w:w="9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Anti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Corruption Laws</w:t>
            </w: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119</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127</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7.14.</w:t>
            </w: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Negative Pledge on Owned Real Property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119</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127</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0000FF"/>
              </w:rPr>
              <w:t>7.15.</w:t>
            </w: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Outbound Investment Rule</w:t>
            </w:r>
          </w:p>
        </w:tc>
        <w:tc>
          <w:tcPr>
            <w:tcW w:w="75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127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VIII. EVENTS OF DEFAULT AND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119</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128</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8.01.</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119</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128</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8.02.</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122</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131</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8.03.</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Application of Funds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122</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131</w:t>
            </w:r>
          </w:p>
        </w:tc>
        <w:tc>
          <w:tcPr>
            <w:tcW w:w="0" w:type="dxa"/>
            <w:vAlign w:val="bottom"/>
          </w:tcPr>
          <w:p>
            <w:pPr>
              <w:spacing w:after="0"/>
              <w:rPr>
                <w:sz w:val="1"/>
                <w:szCs w:val="1"/>
                <w:color w:val="auto"/>
              </w:rPr>
            </w:pPr>
          </w:p>
        </w:tc>
      </w:tr>
      <w:tr>
        <w:trPr>
          <w:trHeight w:val="20"/>
        </w:trPr>
        <w:tc>
          <w:tcPr>
            <w:tcW w:w="107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IX. ADMINISTRATIVE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124</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133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9.01.</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124</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133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9.02.</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Rights as a Lender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124</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133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9.03.</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Exculpatory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125</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133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9.04.</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126</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135</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9.05.</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Delegation of Duties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126</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135</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9.06.</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127</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135</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9.07.</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Non-Reliance on Administrative Agent, the Arrangers and the Other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128</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137</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9.08.</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Other Duties,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129</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138</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9.09.</w:t>
            </w:r>
          </w:p>
        </w:tc>
        <w:tc>
          <w:tcPr>
            <w:tcW w:w="9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Administrative Agent May File Proofs of Claim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Credit Bidding</w:t>
            </w: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129</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138</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9.10.</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130</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139</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9.11.</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Secured Cash Management Agreements and Secured Hedge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131</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140</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9.12.</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Certain ERISA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132</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140</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9.13.</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133</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141</w:t>
            </w:r>
          </w:p>
        </w:tc>
        <w:tc>
          <w:tcPr>
            <w:tcW w:w="0" w:type="dxa"/>
            <w:vAlign w:val="bottom"/>
          </w:tcPr>
          <w:p>
            <w:pPr>
              <w:spacing w:after="0"/>
              <w:rPr>
                <w:sz w:val="1"/>
                <w:szCs w:val="1"/>
                <w:color w:val="auto"/>
              </w:rPr>
            </w:pPr>
          </w:p>
        </w:tc>
      </w:tr>
      <w:tr>
        <w:trPr>
          <w:trHeight w:val="20"/>
        </w:trPr>
        <w:tc>
          <w:tcPr>
            <w:tcW w:w="107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X. CONTINUING GUARANTY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133</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142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10.01.</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Guaranty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133</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10.02.</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Rights of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134</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142</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10.03.</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Certain Waivers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134</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10.04.</w:t>
            </w:r>
          </w:p>
        </w:tc>
        <w:tc>
          <w:tcPr>
            <w:tcW w:w="95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40" w:type="dxa"/>
            <w:vAlign w:val="bottom"/>
            <w:vMerge w:val="continue"/>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Independent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134</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33"/>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10.05.</w:t>
            </w:r>
          </w:p>
        </w:tc>
        <w:tc>
          <w:tcPr>
            <w:tcW w:w="9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Subrogation</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134</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143</w:t>
            </w:r>
          </w:p>
        </w:tc>
        <w:tc>
          <w:tcPr>
            <w:tcW w:w="0" w:type="dxa"/>
            <w:vAlign w:val="bottom"/>
          </w:tcPr>
          <w:p>
            <w:pPr>
              <w:spacing w:after="0" w:line="20" w:lineRule="exact"/>
              <w:rPr>
                <w:sz w:val="1"/>
                <w:szCs w:val="1"/>
                <w:color w:val="auto"/>
              </w:rPr>
            </w:pPr>
          </w:p>
        </w:tc>
      </w:tr>
      <w:tr>
        <w:trPr>
          <w:trHeight w:val="179"/>
        </w:trPr>
        <w:tc>
          <w:tcPr>
            <w:tcW w:w="1040" w:type="dxa"/>
            <w:vAlign w:val="bottom"/>
            <w:vMerge w:val="continue"/>
          </w:tcPr>
          <w:p>
            <w:pPr>
              <w:spacing w:after="0"/>
              <w:rPr>
                <w:sz w:val="15"/>
                <w:szCs w:val="15"/>
                <w:color w:val="auto"/>
              </w:rPr>
            </w:pPr>
          </w:p>
        </w:tc>
        <w:tc>
          <w:tcPr>
            <w:tcW w:w="96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6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10.06.</w:t>
            </w:r>
          </w:p>
        </w:tc>
        <w:tc>
          <w:tcPr>
            <w:tcW w:w="9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Reinstatement</w:t>
            </w: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135</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143</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10.07.</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Stay of Acceleration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135</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144</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10.08.</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 of Borrower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135</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144</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10.09.</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Borrower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135</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144</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10.10.</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Contribution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135</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144</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10.11.</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Keepwell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136</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144</w:t>
            </w:r>
          </w:p>
        </w:tc>
        <w:tc>
          <w:tcPr>
            <w:tcW w:w="0" w:type="dxa"/>
            <w:vAlign w:val="bottom"/>
          </w:tcPr>
          <w:p>
            <w:pPr>
              <w:spacing w:after="0"/>
              <w:rPr>
                <w:sz w:val="1"/>
                <w:szCs w:val="1"/>
                <w:color w:val="auto"/>
              </w:rPr>
            </w:pPr>
          </w:p>
        </w:tc>
      </w:tr>
      <w:tr>
        <w:trPr>
          <w:trHeight w:val="20"/>
        </w:trPr>
        <w:tc>
          <w:tcPr>
            <w:tcW w:w="107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 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136</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145</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11.01.</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136</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145</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11.02.</w:t>
            </w:r>
          </w:p>
        </w:tc>
        <w:tc>
          <w:tcPr>
            <w:tcW w:w="9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Notices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Effectiveness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Electronic Communications</w:t>
            </w: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138</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147</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11.03.</w:t>
            </w:r>
          </w:p>
        </w:tc>
        <w:tc>
          <w:tcPr>
            <w:tcW w:w="9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No Waiver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Cumulative Remedies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Enforcement</w:t>
            </w: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140</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149</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11.04.</w:t>
            </w:r>
          </w:p>
        </w:tc>
        <w:tc>
          <w:tcPr>
            <w:tcW w:w="9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Indemnity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Damage Waiver</w:t>
            </w: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141</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150</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11.05.</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Set Aside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143</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152</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11.06.</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143</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152</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11.07.</w:t>
            </w:r>
          </w:p>
        </w:tc>
        <w:tc>
          <w:tcPr>
            <w:tcW w:w="9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Treatment of Certain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Confidentiality</w:t>
            </w: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151</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160</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11.08.</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Setoff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152</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161</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11.09.</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152</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162</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11.10.</w:t>
            </w:r>
          </w:p>
        </w:tc>
        <w:tc>
          <w:tcPr>
            <w:tcW w:w="9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Counterparts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Integration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Effectiveness</w:t>
            </w: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153</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162</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11.11.</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153</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163</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11.12.</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153</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163</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11.13.</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Replacement of Lenders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154</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163</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11.14.</w:t>
            </w:r>
          </w:p>
        </w:tc>
        <w:tc>
          <w:tcPr>
            <w:tcW w:w="9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Governing Law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Jurisdiction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Etc</w:t>
            </w:r>
            <w:r>
              <w:rPr>
                <w:rFonts w:ascii="Times New Roman" w:cs="Times New Roman" w:eastAsia="Times New Roman" w:hAnsi="Times New Roman"/>
                <w:sz w:val="18"/>
                <w:szCs w:val="18"/>
                <w:b w:val="1"/>
                <w:bCs w:val="1"/>
                <w:color w:val="auto"/>
              </w:rPr>
              <w:t>.</w:t>
            </w: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155</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164</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11.15.</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156</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165</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11.16.</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156</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166</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11.17.</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Electronic Execution; Electronic Records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157</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166</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11.18.</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 Patriot Act Notice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157</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167</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11.19.</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158</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167</w:t>
            </w:r>
          </w:p>
        </w:tc>
        <w:tc>
          <w:tcPr>
            <w:tcW w:w="0" w:type="dxa"/>
            <w:vAlign w:val="bottom"/>
          </w:tcPr>
          <w:p>
            <w:pPr>
              <w:spacing w:after="0"/>
              <w:rPr>
                <w:sz w:val="1"/>
                <w:szCs w:val="1"/>
                <w:color w:val="auto"/>
              </w:rPr>
            </w:pPr>
          </w:p>
        </w:tc>
      </w:tr>
      <w:tr>
        <w:trPr>
          <w:trHeight w:val="20"/>
        </w:trPr>
        <w:tc>
          <w:tcPr>
            <w:tcW w:w="10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11.20.</w:t>
            </w:r>
          </w:p>
        </w:tc>
        <w:tc>
          <w:tcPr>
            <w:tcW w:w="96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vMerge w:val="continue"/>
          </w:tcPr>
          <w:p>
            <w:pPr>
              <w:spacing w:after="0"/>
              <w:rPr>
                <w:sz w:val="24"/>
                <w:szCs w:val="24"/>
                <w:color w:val="auto"/>
              </w:rPr>
            </w:pPr>
          </w:p>
        </w:tc>
        <w:tc>
          <w:tcPr>
            <w:tcW w:w="9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158</w:t>
            </w:r>
          </w:p>
        </w:tc>
        <w:tc>
          <w:tcPr>
            <w:tcW w:w="2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168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BORROWER PREPARED SCHEDULES</w:t>
            </w:r>
          </w:p>
        </w:tc>
        <w:tc>
          <w:tcPr>
            <w:tcW w:w="7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1.01(e)</w:t>
            </w:r>
          </w:p>
        </w:tc>
        <w:tc>
          <w:tcPr>
            <w:tcW w:w="74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Immaterial Subsidiaries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1.01(f)</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Unrestricted Subsidiaries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5.04</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Governmental Approvals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5.07</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Title to Properties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5.08</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5.09</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Litigation</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5.15</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Pension Plans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5.16</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Environmental Matters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5.17</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Insurance</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5.19(a)</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Filing Offices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5.19(b)</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Registered Intellectual Property</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5.19(c)</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Deposit Accounts&amp; Securities Accounts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5.19(d)</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Tangible Chattel Paper</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5.19 (e)</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Electronic Chattel Paper&amp; Letter-of-Credit Rights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5.19 (f)</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Commercial Tort Claims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5.19 (g)</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Pledged Equity Interests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5.20(a)</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Owned Real Property</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5.20(b)</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5.26</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Intellectual Property Matters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6.17</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Post-Closing Requirements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7.01</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Existing Indebtedness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7.02</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Existing Liens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7.03</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Existing Investments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7.05</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Restrictive Agreements</w:t>
            </w:r>
          </w:p>
        </w:tc>
        <w:tc>
          <w:tcPr>
            <w:tcW w:w="0" w:type="dxa"/>
            <w:vAlign w:val="bottom"/>
          </w:tcPr>
          <w:p>
            <w:pPr>
              <w:spacing w:after="0"/>
              <w:rPr>
                <w:sz w:val="1"/>
                <w:szCs w:val="1"/>
                <w:color w:val="auto"/>
              </w:rPr>
            </w:pPr>
          </w:p>
        </w:tc>
      </w:tr>
      <w:tr>
        <w:trPr>
          <w:trHeight w:val="234"/>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7.08(a)</w:t>
            </w:r>
          </w:p>
        </w:tc>
        <w:tc>
          <w:tcPr>
            <w:tcW w:w="740" w:type="dxa"/>
            <w:vAlign w:val="bottom"/>
          </w:tcPr>
          <w:p>
            <w:pPr>
              <w:spacing w:after="0"/>
              <w:rPr>
                <w:sz w:val="20"/>
                <w:szCs w:val="20"/>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0" w:type="dxa"/>
            <w:vAlign w:val="bottom"/>
          </w:tcPr>
          <w:p>
            <w:pPr>
              <w:spacing w:after="0"/>
              <w:rPr>
                <w:sz w:val="1"/>
                <w:szCs w:val="1"/>
                <w:color w:val="auto"/>
              </w:rPr>
            </w:pPr>
          </w:p>
        </w:tc>
      </w:tr>
      <w:tr>
        <w:trPr>
          <w:trHeight w:val="43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AGENT PREPARED SCHEDULES</w:t>
            </w: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1.01(a)</w:t>
            </w:r>
          </w:p>
        </w:tc>
        <w:tc>
          <w:tcPr>
            <w:tcW w:w="74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Certain Addresses for Notices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1.01(b)</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Initial Commitments and Applicable Percentages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Schedule 1.01(c)</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Existing Letters of Credit</w:t>
            </w:r>
          </w:p>
        </w:tc>
        <w:tc>
          <w:tcPr>
            <w:tcW w:w="0" w:type="dxa"/>
            <w:vAlign w:val="bottom"/>
          </w:tcPr>
          <w:p>
            <w:pPr>
              <w:spacing w:after="0"/>
              <w:rPr>
                <w:sz w:val="1"/>
                <w:szCs w:val="1"/>
                <w:color w:val="auto"/>
              </w:rPr>
            </w:pPr>
          </w:p>
        </w:tc>
      </w:tr>
      <w:tr>
        <w:trPr>
          <w:trHeight w:val="194"/>
        </w:trPr>
        <w:tc>
          <w:tcPr>
            <w:tcW w:w="4880" w:type="dxa"/>
            <w:vAlign w:val="bottom"/>
          </w:tcPr>
          <w:p>
            <w:pPr>
              <w:ind w:left="660"/>
              <w:spacing w:after="0" w:line="194" w:lineRule="exact"/>
              <w:rPr>
                <w:sz w:val="20"/>
                <w:szCs w:val="20"/>
                <w:color w:val="auto"/>
              </w:rPr>
            </w:pPr>
            <w:r>
              <w:rPr>
                <w:rFonts w:ascii="Times New Roman" w:cs="Times New Roman" w:eastAsia="Times New Roman" w:hAnsi="Times New Roman"/>
                <w:sz w:val="18"/>
                <w:szCs w:val="18"/>
                <w:color w:val="auto"/>
              </w:rPr>
              <w:t>Schedule 2.01</w:t>
            </w:r>
          </w:p>
        </w:tc>
        <w:tc>
          <w:tcPr>
            <w:tcW w:w="740" w:type="dxa"/>
            <w:vAlign w:val="bottom"/>
          </w:tcPr>
          <w:p>
            <w:pPr>
              <w:spacing w:after="0"/>
              <w:rPr>
                <w:sz w:val="16"/>
                <w:szCs w:val="16"/>
                <w:color w:val="auto"/>
              </w:rPr>
            </w:pPr>
          </w:p>
        </w:tc>
        <w:tc>
          <w:tcPr>
            <w:tcW w:w="1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99"/>
              </w:rPr>
              <w:t>Swingline Commitments</w:t>
            </w:r>
          </w:p>
        </w:tc>
        <w:tc>
          <w:tcPr>
            <w:tcW w:w="38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rPr>
              <w:t>[Reserved]</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Schedule 2.03</w:t>
            </w:r>
          </w:p>
        </w:tc>
        <w:tc>
          <w:tcPr>
            <w:tcW w:w="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8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Letter of Credit Commitments</w:t>
            </w:r>
          </w:p>
        </w:tc>
        <w:tc>
          <w:tcPr>
            <w:tcW w:w="520" w:type="dxa"/>
            <w:vAlign w:val="bottom"/>
            <w:vMerge w:val="continue"/>
          </w:tcPr>
          <w:p>
            <w:pPr>
              <w:spacing w:after="0"/>
              <w:rPr>
                <w:sz w:val="18"/>
                <w:szCs w:val="18"/>
                <w:color w:val="auto"/>
              </w:rPr>
            </w:pP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A</w:t>
            </w:r>
          </w:p>
        </w:tc>
        <w:tc>
          <w:tcPr>
            <w:tcW w:w="740" w:type="dxa"/>
            <w:vAlign w:val="bottom"/>
          </w:tcPr>
          <w:p>
            <w:pPr>
              <w:spacing w:after="0"/>
              <w:rPr>
                <w:sz w:val="24"/>
                <w:szCs w:val="24"/>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Administrative Questionnaire</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B-1</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B-2</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Affiliated Lender Assignment and Assumption</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C</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D</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Joinder Agreement</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E</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Loan Notice</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F</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Permitted Acquisition Certificate</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G</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Revolving Note</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H</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Secured Party Designation Notice</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I</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Solvency Certificate</w:t>
            </w:r>
          </w:p>
        </w:tc>
        <w:tc>
          <w:tcPr>
            <w:tcW w:w="0" w:type="dxa"/>
            <w:vAlign w:val="bottom"/>
          </w:tcPr>
          <w:p>
            <w:pPr>
              <w:spacing w:after="0"/>
              <w:rPr>
                <w:sz w:val="1"/>
                <w:szCs w:val="1"/>
                <w:color w:val="auto"/>
              </w:rPr>
            </w:pPr>
          </w:p>
        </w:tc>
      </w:tr>
      <w:tr>
        <w:trPr>
          <w:trHeight w:val="194"/>
        </w:trPr>
        <w:tc>
          <w:tcPr>
            <w:tcW w:w="4880" w:type="dxa"/>
            <w:vAlign w:val="bottom"/>
          </w:tcPr>
          <w:p>
            <w:pPr>
              <w:ind w:left="660"/>
              <w:spacing w:after="0" w:line="194" w:lineRule="exact"/>
              <w:rPr>
                <w:sz w:val="20"/>
                <w:szCs w:val="20"/>
                <w:color w:val="auto"/>
              </w:rPr>
            </w:pPr>
            <w:r>
              <w:rPr>
                <w:rFonts w:ascii="Times New Roman" w:cs="Times New Roman" w:eastAsia="Times New Roman" w:hAnsi="Times New Roman"/>
                <w:sz w:val="18"/>
                <w:szCs w:val="18"/>
                <w:color w:val="auto"/>
              </w:rPr>
              <w:t>Exhibit J</w:t>
            </w:r>
          </w:p>
        </w:tc>
        <w:tc>
          <w:tcPr>
            <w:tcW w:w="740" w:type="dxa"/>
            <w:vAlign w:val="bottom"/>
          </w:tcPr>
          <w:p>
            <w:pPr>
              <w:spacing w:after="0"/>
              <w:rPr>
                <w:sz w:val="16"/>
                <w:szCs w:val="16"/>
                <w:color w:val="auto"/>
              </w:rPr>
            </w:pPr>
          </w:p>
        </w:tc>
        <w:tc>
          <w:tcPr>
            <w:tcW w:w="23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FF0000"/>
                <w:strike w:val="1"/>
                <w:w w:val="99"/>
              </w:rPr>
              <w:t>Form of Swingline Loan Notice</w:t>
            </w:r>
          </w:p>
        </w:tc>
        <w:tc>
          <w:tcPr>
            <w:tcW w:w="33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[Reserved]</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Exhibit K</w:t>
            </w:r>
          </w:p>
        </w:tc>
        <w:tc>
          <w:tcPr>
            <w:tcW w:w="740" w:type="dxa"/>
            <w:vAlign w:val="bottom"/>
          </w:tcPr>
          <w:p>
            <w:pPr>
              <w:spacing w:after="0" w:line="20" w:lineRule="exact"/>
              <w:rPr>
                <w:sz w:val="1"/>
                <w:szCs w:val="1"/>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Form of Term Note</w:t>
            </w:r>
          </w:p>
        </w:tc>
        <w:tc>
          <w:tcPr>
            <w:tcW w:w="800" w:type="dxa"/>
            <w:vAlign w:val="bottom"/>
            <w:tcBorders>
              <w:top w:val="single" w:sz="8" w:color="0000FF"/>
              <w:bottom w:val="single" w:sz="8" w:color="0000FF"/>
            </w:tcBorders>
            <w:gridSpan w:val="2"/>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800" w:type="dxa"/>
            <w:vAlign w:val="bottom"/>
            <w:gridSpan w:val="2"/>
          </w:tcPr>
          <w:p>
            <w:pPr>
              <w:spacing w:after="0"/>
              <w:rPr>
                <w:sz w:val="15"/>
                <w:szCs w:val="15"/>
                <w:color w:val="auto"/>
              </w:rPr>
            </w:pPr>
          </w:p>
        </w:tc>
        <w:tc>
          <w:tcPr>
            <w:tcW w:w="2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L</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Forms of U.S. Tax Compliance Certificates</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M</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Funding Indemnity Letter</w:t>
            </w:r>
          </w:p>
        </w:tc>
        <w:tc>
          <w:tcPr>
            <w:tcW w:w="0" w:type="dxa"/>
            <w:vAlign w:val="bottom"/>
          </w:tcPr>
          <w:p>
            <w:pPr>
              <w:spacing w:after="0"/>
              <w:rPr>
                <w:sz w:val="1"/>
                <w:szCs w:val="1"/>
                <w:color w:val="auto"/>
              </w:rPr>
            </w:pPr>
          </w:p>
        </w:tc>
      </w:tr>
      <w:tr>
        <w:trPr>
          <w:trHeight w:val="216"/>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N</w:t>
            </w:r>
          </w:p>
        </w:tc>
        <w:tc>
          <w:tcPr>
            <w:tcW w:w="740" w:type="dxa"/>
            <w:vAlign w:val="bottom"/>
          </w:tcPr>
          <w:p>
            <w:pPr>
              <w:spacing w:after="0"/>
              <w:rPr>
                <w:sz w:val="18"/>
                <w:szCs w:val="18"/>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[Reserved]</w:t>
            </w:r>
          </w:p>
        </w:tc>
        <w:tc>
          <w:tcPr>
            <w:tcW w:w="0" w:type="dxa"/>
            <w:vAlign w:val="bottom"/>
          </w:tcPr>
          <w:p>
            <w:pPr>
              <w:spacing w:after="0"/>
              <w:rPr>
                <w:sz w:val="1"/>
                <w:szCs w:val="1"/>
                <w:color w:val="auto"/>
              </w:rPr>
            </w:pPr>
          </w:p>
        </w:tc>
      </w:tr>
      <w:tr>
        <w:trPr>
          <w:trHeight w:val="234"/>
        </w:trPr>
        <w:tc>
          <w:tcPr>
            <w:tcW w:w="4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Exhibit O</w:t>
            </w:r>
          </w:p>
        </w:tc>
        <w:tc>
          <w:tcPr>
            <w:tcW w:w="740" w:type="dxa"/>
            <w:vAlign w:val="bottom"/>
          </w:tcPr>
          <w:p>
            <w:pPr>
              <w:spacing w:after="0"/>
              <w:rPr>
                <w:sz w:val="20"/>
                <w:szCs w:val="20"/>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Notice of Loan Prepayment</w:t>
            </w:r>
          </w:p>
        </w:tc>
        <w:tc>
          <w:tcPr>
            <w:tcW w:w="0" w:type="dxa"/>
            <w:vAlign w:val="bottom"/>
          </w:tcPr>
          <w:p>
            <w:pPr>
              <w:spacing w:after="0"/>
              <w:rPr>
                <w:sz w:val="1"/>
                <w:szCs w:val="1"/>
                <w:color w:val="auto"/>
              </w:rPr>
            </w:pPr>
          </w:p>
        </w:tc>
      </w:tr>
      <w:tr>
        <w:trPr>
          <w:trHeight w:val="648"/>
        </w:trPr>
        <w:tc>
          <w:tcPr>
            <w:tcW w:w="488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6"/>
          </w:tcPr>
          <w:p>
            <w:pPr>
              <w:ind w:left="660"/>
              <w:spacing w:after="0"/>
              <w:rPr>
                <w:sz w:val="20"/>
                <w:szCs w:val="20"/>
                <w:color w:val="auto"/>
              </w:rPr>
            </w:pPr>
            <w:r>
              <w:rPr>
                <w:rFonts w:ascii="Times New Roman" w:cs="Times New Roman" w:eastAsia="Times New Roman" w:hAnsi="Times New Roman"/>
                <w:sz w:val="18"/>
                <w:szCs w:val="18"/>
                <w:color w:val="auto"/>
              </w:rPr>
              <w:t>vi</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CREDIT AGREEMENT, dated as of October 9, 2020, as amended by the First Amendment to Credit Agreement dated as of August 13, 2021, the Second Amendment to Credit Agreement dated as of August 10, 2022 </w:t>
      </w:r>
      <w:r>
        <w:rPr>
          <w:rFonts w:ascii="Times New Roman" w:cs="Times New Roman" w:eastAsia="Times New Roman" w:hAnsi="Times New Roman"/>
          <w:sz w:val="18"/>
          <w:szCs w:val="18"/>
          <w:color w:val="FF0000"/>
        </w:rPr>
        <w:t>and as further amended by</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Limited Waiver and Third Amendment to Credit Agreement dated as of February 14, 2025, </w:t>
      </w:r>
      <w:r>
        <w:rPr>
          <w:rFonts w:ascii="Times New Roman" w:cs="Times New Roman" w:eastAsia="Times New Roman" w:hAnsi="Times New Roman"/>
          <w:sz w:val="18"/>
          <w:szCs w:val="18"/>
          <w:u w:val="single" w:color="auto"/>
          <w:color w:val="0000FF"/>
        </w:rPr>
        <w:t>the Fourth Amendment to Credit Agreement dated as of July 25, 2025, the Fifth Amendment to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Agreement dated as of October 10, 2025, the Limited Waiver and Sixth Amendment to Credit Agreement dated as of January 23, 2026 and as further amended by the Seventh Amendment to Credit Agreement dated as of April 16, 2026,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is by and among VISKASE COMPANIES,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LLC (f/k/a VISKASE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COMPANIES,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a Delaware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corporation</w:t>
      </w:r>
      <w:r>
        <w:rPr>
          <w:rFonts w:ascii="Times New Roman" w:cs="Times New Roman" w:eastAsia="Times New Roman" w:hAnsi="Times New Roman"/>
          <w:sz w:val="18"/>
          <w:szCs w:val="18"/>
          <w:u w:val="single" w:color="auto"/>
          <w:color w:val="0000FF"/>
        </w:rPr>
        <w:t>limited liability company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i w:val="1"/>
          <w:iCs w:val="1"/>
          <w:u w:val="single" w:color="auto"/>
          <w:color w:val="000000"/>
        </w:rPr>
        <w:t>Borrower</w:t>
      </w:r>
      <w:r>
        <w:rPr>
          <w:rFonts w:ascii="Times New Roman" w:cs="Times New Roman" w:eastAsia="Times New Roman" w:hAnsi="Times New Roman"/>
          <w:sz w:val="18"/>
          <w:szCs w:val="18"/>
          <w:color w:val="000000"/>
        </w:rPr>
        <w:t>”), the Guarantors from time to time party hereto, the Lenders from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time to time party hereto, and BANK OF AMERICA, N.A., as Administrative Agent</w:t>
      </w:r>
      <w:r>
        <w:rPr>
          <w:rFonts w:ascii="Times New Roman" w:cs="Times New Roman" w:eastAsia="Times New Roman" w:hAnsi="Times New Roman"/>
          <w:sz w:val="18"/>
          <w:szCs w:val="18"/>
          <w:color w:val="FF0000"/>
          <w:strike w:val="1"/>
        </w:rPr>
        <w:t>, Swingline Lender</w:t>
      </w:r>
      <w:r>
        <w:rPr>
          <w:rFonts w:ascii="Times New Roman" w:cs="Times New Roman" w:eastAsia="Times New Roman" w:hAnsi="Times New Roman"/>
          <w:sz w:val="18"/>
          <w:szCs w:val="18"/>
          <w:color w:val="000000"/>
        </w:rPr>
        <w:t xml:space="preserve"> and 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-768350</wp:posOffset>
            </wp:positionV>
            <wp:extent cx="12573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PRELIMINARY STATEMENTS: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Loan Parties (as hereinafter defined) have requested that the Lenders</w:t>
      </w:r>
      <w:r>
        <w:rPr>
          <w:rFonts w:ascii="Times New Roman" w:cs="Times New Roman" w:eastAsia="Times New Roman" w:hAnsi="Times New Roman"/>
          <w:sz w:val="18"/>
          <w:szCs w:val="18"/>
          <w:color w:val="FF0000"/>
          <w:strike w:val="1"/>
        </w:rPr>
        <w:t>, the Swingline Lender</w:t>
      </w:r>
      <w:r>
        <w:rPr>
          <w:rFonts w:ascii="Times New Roman" w:cs="Times New Roman" w:eastAsia="Times New Roman" w:hAnsi="Times New Roman"/>
          <w:sz w:val="18"/>
          <w:szCs w:val="18"/>
          <w:color w:val="auto"/>
        </w:rPr>
        <w:t xml:space="preserve"> and the L/C Issuer make loans and other financial accommodations to the Loan Parties in an aggregate amount of up to $180,000,000.</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Lenders</w:t>
      </w:r>
      <w:r>
        <w:rPr>
          <w:rFonts w:ascii="Times New Roman" w:cs="Times New Roman" w:eastAsia="Times New Roman" w:hAnsi="Times New Roman"/>
          <w:sz w:val="18"/>
          <w:szCs w:val="18"/>
          <w:color w:val="FF0000"/>
          <w:strike w:val="1"/>
        </w:rPr>
        <w:t>, the Swingline Lender</w:t>
      </w:r>
      <w:r>
        <w:rPr>
          <w:rFonts w:ascii="Times New Roman" w:cs="Times New Roman" w:eastAsia="Times New Roman" w:hAnsi="Times New Roman"/>
          <w:sz w:val="18"/>
          <w:szCs w:val="18"/>
          <w:color w:val="auto"/>
        </w:rPr>
        <w:t xml:space="preserve"> and the L/C Issuer have agreed to make such loans and other financial accommodations to the Loan Parties on the terms and subject to the conditions set forth herein.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herein contained, the parties hereto hereby covenant and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 AND ACCOUNTING TERMS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1.01.</w:t>
      </w:r>
      <w:r>
        <w:rPr>
          <w:rFonts w:ascii="Times New Roman" w:cs="Times New Roman" w:eastAsia="Times New Roman" w:hAnsi="Times New Roman"/>
          <w:sz w:val="18"/>
          <w:szCs w:val="18"/>
          <w:color w:val="auto"/>
        </w:rPr>
        <w:t>       Defined Terms.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meanings set forth below:</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13-Week Cash Flow Projection</w:t>
      </w:r>
      <w:r>
        <w:rPr>
          <w:rFonts w:ascii="Times New Roman" w:cs="Times New Roman" w:eastAsia="Times New Roman" w:hAnsi="Times New Roman"/>
          <w:sz w:val="18"/>
          <w:szCs w:val="18"/>
          <w:u w:val="single" w:color="auto"/>
          <w:color w:val="0000FF"/>
        </w:rPr>
        <w:t>” has the meaning set forth in Section 6.04(n).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Acquisition</w:t>
      </w:r>
      <w:r>
        <w:rPr>
          <w:rFonts w:ascii="Times New Roman" w:cs="Times New Roman" w:eastAsia="Times New Roman" w:hAnsi="Times New Roman"/>
          <w:sz w:val="18"/>
          <w:szCs w:val="18"/>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or line of business of such Person.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Additional Guarantor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Additional Secured Obligations</w:t>
      </w:r>
      <w:r>
        <w:rPr>
          <w:rFonts w:ascii="Times New Roman" w:cs="Times New Roman" w:eastAsia="Times New Roman" w:hAnsi="Times New Roman"/>
          <w:sz w:val="18"/>
          <w:szCs w:val="18"/>
          <w:color w:val="auto"/>
        </w:rPr>
        <w:t xml:space="preserve">” means (a) all obligations arising under Secured Cash Management Agreements and Secured Hedge Agreements and (b) all costs and expenses incurred in connection with enforcement and collection of the foregoing, including the reasonable and documented out-of-pocket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Additional Secured Obligations of a Loan Party shall exclude any Excluded Swap Obligations with respect to such Loan Party.</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Administrative Agent</w:t>
      </w:r>
      <w:r>
        <w:rPr>
          <w:rFonts w:ascii="Times New Roman" w:cs="Times New Roman" w:eastAsia="Times New Roman" w:hAnsi="Times New Roman"/>
          <w:sz w:val="18"/>
          <w:szCs w:val="18"/>
          <w:color w:val="auto"/>
        </w:rPr>
        <w:t>” means Bank of America (or any of its designated branch offices or affiliates) in its capacity as administrative agent under any of the Loan Documents, or any successor administrative agent.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Administrative Agent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s Office</w:t>
      </w:r>
      <w:r>
        <w:rPr>
          <w:rFonts w:ascii="Times New Roman" w:cs="Times New Roman" w:eastAsia="Times New Roman" w:hAnsi="Times New Roman"/>
          <w:sz w:val="18"/>
          <w:szCs w:val="18"/>
          <w:color w:val="auto"/>
        </w:rPr>
        <w:t xml:space="preserve">” means, with respect to any currency, the Administrative Agent’s address and, as appropriate, account as set forth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with respect to such currency, or such other address or account with respect to such currency as the Administrative Agent may from time to time notify the Borrower and the Lenders in writing.</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Administrative Questionnaire</w:t>
      </w:r>
      <w:r>
        <w:rPr>
          <w:rFonts w:ascii="Times New Roman" w:cs="Times New Roman" w:eastAsia="Times New Roman" w:hAnsi="Times New Roman"/>
          <w:sz w:val="18"/>
          <w:szCs w:val="18"/>
          <w:color w:val="auto"/>
        </w:rPr>
        <w:t xml:space="preserve">” means an Administrative Questionnaire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AEPC</w:t>
      </w:r>
      <w:r>
        <w:rPr>
          <w:rFonts w:ascii="Times New Roman" w:cs="Times New Roman" w:eastAsia="Times New Roman" w:hAnsi="Times New Roman"/>
          <w:sz w:val="18"/>
          <w:szCs w:val="18"/>
          <w:color w:val="auto"/>
        </w:rPr>
        <w:t>” means American Entertainment Properties Corp., a Delaware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Affiliated Lender</w:t>
      </w:r>
      <w:r>
        <w:rPr>
          <w:rFonts w:ascii="Times New Roman" w:cs="Times New Roman" w:eastAsia="Times New Roman" w:hAnsi="Times New Roman"/>
          <w:sz w:val="18"/>
          <w:szCs w:val="18"/>
          <w:color w:val="auto"/>
        </w:rPr>
        <w:t>” means a Lender that is any Person included in the definition of “Icahn Group” or an Affiliate of the Borrower (including AEPC) (in each case, other than the Borrower, any Subsidiary of the Borrower or a natural person), or is managed or advised by any of the foregoing.</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Affiliated Lender Assignment and Assumption</w:t>
      </w:r>
      <w:r>
        <w:rPr>
          <w:rFonts w:ascii="Times New Roman" w:cs="Times New Roman" w:eastAsia="Times New Roman" w:hAnsi="Times New Roman"/>
          <w:sz w:val="18"/>
          <w:szCs w:val="18"/>
          <w:color w:val="auto"/>
        </w:rPr>
        <w:t xml:space="preserve">” means an assignment and assumption entered into by a Lender and an Affiliated Lender, and accepted by the Administrative Agent, in substantially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or any other form approved by the Administrative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Agent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11.02(c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u w:val="single" w:color="auto"/>
          <w:color w:val="auto"/>
        </w:rPr>
        <w:t>Aggregate Commitments</w:t>
      </w:r>
      <w:r>
        <w:rPr>
          <w:rFonts w:ascii="Times New Roman" w:cs="Times New Roman" w:eastAsia="Times New Roman" w:hAnsi="Times New Roman"/>
          <w:sz w:val="18"/>
          <w:szCs w:val="18"/>
          <w:color w:val="auto"/>
        </w:rPr>
        <w:t>” means the Commitments of all the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Agreement</w:t>
      </w:r>
      <w:r>
        <w:rPr>
          <w:rFonts w:ascii="Times New Roman" w:cs="Times New Roman" w:eastAsia="Times New Roman" w:hAnsi="Times New Roman"/>
          <w:sz w:val="18"/>
          <w:szCs w:val="18"/>
          <w:color w:val="auto"/>
        </w:rPr>
        <w:t>” means this Credit Agreement, including all schedules, exhibits and annexes hereto.</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Annualized Basis</w:t>
      </w:r>
      <w:r>
        <w:rPr>
          <w:rFonts w:ascii="Times New Roman" w:cs="Times New Roman" w:eastAsia="Times New Roman" w:hAnsi="Times New Roman"/>
          <w:sz w:val="18"/>
          <w:szCs w:val="18"/>
          <w:color w:val="auto"/>
        </w:rPr>
        <w:t xml:space="preserve">” means, with respect to the calculation of the Consolidated Fixed Charge Coverage Ratio </w:t>
      </w:r>
      <w:r>
        <w:rPr>
          <w:rFonts w:ascii="Times New Roman" w:cs="Times New Roman" w:eastAsia="Times New Roman" w:hAnsi="Times New Roman"/>
          <w:sz w:val="18"/>
          <w:szCs w:val="18"/>
          <w:u w:val="single" w:color="auto"/>
          <w:color w:val="0000FF"/>
        </w:rPr>
        <w:t>and the Consolidated Leverage Ratio</w:t>
      </w:r>
      <w:r>
        <w:rPr>
          <w:rFonts w:ascii="Times New Roman" w:cs="Times New Roman" w:eastAsia="Times New Roman" w:hAnsi="Times New Roman"/>
          <w:sz w:val="18"/>
          <w:szCs w:val="18"/>
          <w:color w:val="auto"/>
        </w:rPr>
        <w:t xml:space="preserve"> for any applicable Measurement Period</w:t>
      </w:r>
      <w:r>
        <w:rPr>
          <w:rFonts w:ascii="Times New Roman" w:cs="Times New Roman" w:eastAsia="Times New Roman" w:hAnsi="Times New Roman"/>
          <w:sz w:val="18"/>
          <w:szCs w:val="18"/>
          <w:color w:val="FF0000"/>
          <w:strike w:val="1"/>
        </w:rPr>
        <w:t>, the product of (i)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ending on March 31, June 30 or September 30, 2026, the</w:t>
      </w:r>
      <w:r>
        <w:rPr>
          <w:rFonts w:ascii="Times New Roman" w:cs="Times New Roman" w:eastAsia="Times New Roman" w:hAnsi="Times New Roman"/>
          <w:sz w:val="18"/>
          <w:szCs w:val="18"/>
          <w:color w:val="auto"/>
        </w:rPr>
        <w:t xml:space="preserve"> applicable components of </w:t>
      </w:r>
      <w:r>
        <w:rPr>
          <w:rFonts w:ascii="Times New Roman" w:cs="Times New Roman" w:eastAsia="Times New Roman" w:hAnsi="Times New Roman"/>
          <w:sz w:val="18"/>
          <w:szCs w:val="18"/>
          <w:color w:val="FF0000"/>
          <w:strike w:val="1"/>
        </w:rPr>
        <w:t>Consolidated Fixed Charge Coverage Ratio made after the Closing Date through the last day of such period (the “</w:t>
      </w:r>
      <w:r>
        <w:rPr>
          <w:rFonts w:ascii="Times New Roman" w:cs="Times New Roman" w:eastAsia="Times New Roman" w:hAnsi="Times New Roman"/>
          <w:sz w:val="18"/>
          <w:szCs w:val="18"/>
          <w:i w:val="1"/>
          <w:iCs w:val="1"/>
          <w:u w:val="single" w:color="auto"/>
          <w:color w:val="FF0000"/>
          <w:strike w:val="1"/>
        </w:rPr>
        <w:t>Post-Closing Period</w:t>
      </w:r>
      <w:r>
        <w:rPr>
          <w:rFonts w:ascii="Times New Roman" w:cs="Times New Roman" w:eastAsia="Times New Roman" w:hAnsi="Times New Roman"/>
          <w:sz w:val="18"/>
          <w:szCs w:val="18"/>
          <w:color w:val="FF0000"/>
          <w:strike w:val="1"/>
        </w:rPr>
        <w:t xml:space="preserve">”) divided by the number of calendar days in such Post-Closing Period </w:t>
      </w:r>
      <w:r>
        <w:rPr>
          <w:rFonts w:ascii="Times New Roman" w:cs="Times New Roman" w:eastAsia="Times New Roman" w:hAnsi="Times New Roman"/>
          <w:sz w:val="18"/>
          <w:szCs w:val="18"/>
          <w:u w:val="single" w:color="auto"/>
          <w:color w:val="FF0000"/>
          <w:strike w:val="1"/>
        </w:rPr>
        <w:t>times</w:t>
      </w:r>
      <w:r>
        <w:rPr>
          <w:rFonts w:ascii="Times New Roman" w:cs="Times New Roman" w:eastAsia="Times New Roman" w:hAnsi="Times New Roman"/>
          <w:sz w:val="18"/>
          <w:szCs w:val="18"/>
          <w:color w:val="FF0000"/>
          <w:strike w:val="1"/>
        </w:rPr>
        <w:t xml:space="preserve"> (ii) 365.</w:t>
      </w:r>
      <w:r>
        <w:rPr>
          <w:rFonts w:ascii="Times New Roman" w:cs="Times New Roman" w:eastAsia="Times New Roman" w:hAnsi="Times New Roman"/>
          <w:sz w:val="18"/>
          <w:szCs w:val="18"/>
          <w:u w:val="single" w:color="auto"/>
          <w:color w:val="0000FF"/>
          <w:strike w:val="1"/>
        </w:rPr>
        <w:t>such ratios shall be determined (i) with respect to the Measurement Period ended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March 31, 2026, using the results from the fiscal quarter ended March 31, 2026 multiplied by 4, (ii) with respect to the Measurement Period ended June 30, 2026, using the results from the two fiscal quarters ended June 30, 2026 multiplied by 2, and (iii) with respect to the Measurement Period ended September 30, 2026, using the results from the three fiscal quarters ended September 30, 2026 multiplied by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-307975</wp:posOffset>
            </wp:positionV>
            <wp:extent cx="28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-33655</wp:posOffset>
            </wp:positionV>
            <wp:extent cx="285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Applicable Foreign Obligor Documents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Applicable Percentage</w:t>
      </w:r>
      <w:r>
        <w:rPr>
          <w:rFonts w:ascii="Times New Roman" w:cs="Times New Roman" w:eastAsia="Times New Roman" w:hAnsi="Times New Roman"/>
          <w:sz w:val="18"/>
          <w:szCs w:val="18"/>
          <w:color w:val="auto"/>
        </w:rPr>
        <w:t>” means (a) in respect of the Term Facility, with respect to any Term Lender at any time, the percentage (carried out to the ninth decimal place) of the Term Facility represented by (i) on or prior to the Closing Date, such Term Lender’s Term Commitment at such time and (ii) thereafter, the outstanding principal amount of such Term Lender’s Term Loans at such time, and</w:t>
      </w:r>
    </w:p>
    <w:p>
      <w:pPr>
        <w:spacing w:after="0" w:line="175" w:lineRule="exact"/>
        <w:rPr>
          <w:sz w:val="20"/>
          <w:szCs w:val="20"/>
          <w:color w:val="auto"/>
        </w:rPr>
      </w:pPr>
    </w:p>
    <w:p>
      <w:pPr>
        <w:jc w:val="both"/>
        <w:ind w:firstLine="8"/>
        <w:spacing w:after="0" w:line="254" w:lineRule="auto"/>
        <w:tabs>
          <w:tab w:leader="none" w:pos="2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If the Commitment of all of the Revolving Lenders to make Revolving Loans and the obligation of the L/C Issuer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Revolving Commitments have expired, then the Applicable Percentage of each Revolving Lender in respect of the Revolving Facility shall be determined based on the Applicable Percentage of such Revolving Lender in respect of the Revolving Facility most recently in effect, giving effect to any subsequent assignments and to any Lender’s status as a Defaulting Lender at the time of determination. The Applicable Percentage of each Lender in respect of each Facility is set forth opposite the name of such Lender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or in the Assignment and Assumption pursuant to which such Lender becomes a party hereto </w:t>
      </w:r>
      <w:r>
        <w:rPr>
          <w:rFonts w:ascii="Times New Roman" w:cs="Times New Roman" w:eastAsia="Times New Roman" w:hAnsi="Times New Roman"/>
          <w:sz w:val="18"/>
          <w:szCs w:val="18"/>
          <w:color w:val="FF0000"/>
        </w:rPr>
        <w:t>or in any documentation executed by such Lender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rPr>
        <w:t>Section 2.16</w:t>
      </w:r>
      <w:r>
        <w:rPr>
          <w:rFonts w:ascii="Times New Roman" w:cs="Times New Roman" w:eastAsia="Times New Roman" w:hAnsi="Times New Roman"/>
          <w:sz w:val="18"/>
          <w:szCs w:val="18"/>
          <w:color w:val="auto"/>
        </w:rPr>
        <w: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3384550</wp:posOffset>
            </wp:positionH>
            <wp:positionV relativeFrom="paragraph">
              <wp:posOffset>-219710</wp:posOffset>
            </wp:positionV>
            <wp:extent cx="35775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77590" cy="8890"/>
                    </a:xfrm>
                    <a:prstGeom prst="rect">
                      <a:avLst/>
                    </a:prstGeom>
                    <a:noFill/>
                  </pic:spPr>
                </pic:pic>
              </a:graphicData>
            </a:graphic>
          </wp:anchor>
        </w:drawing>
      </w:r>
    </w:p>
    <w:p>
      <w:pPr>
        <w:spacing w:after="0" w:line="16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Applicable Rate</w:t>
      </w:r>
      <w:r>
        <w:rPr>
          <w:rFonts w:ascii="Times New Roman" w:cs="Times New Roman" w:eastAsia="Times New Roman" w:hAnsi="Times New Roman"/>
          <w:sz w:val="18"/>
          <w:szCs w:val="18"/>
          <w:color w:val="auto"/>
        </w:rPr>
        <w:t xml:space="preserve">” means, from and after the </w:t>
      </w:r>
      <w:r>
        <w:rPr>
          <w:rFonts w:ascii="Times New Roman" w:cs="Times New Roman" w:eastAsia="Times New Roman" w:hAnsi="Times New Roman"/>
          <w:sz w:val="18"/>
          <w:szCs w:val="18"/>
          <w:color w:val="FF0000"/>
          <w:strike w:val="1"/>
        </w:rPr>
        <w:t>Third</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for any day, the rate per annum set forth below </w:t>
      </w:r>
      <w:r>
        <w:rPr>
          <w:rFonts w:ascii="Times New Roman" w:cs="Times New Roman" w:eastAsia="Times New Roman" w:hAnsi="Times New Roman"/>
          <w:sz w:val="18"/>
          <w:szCs w:val="18"/>
          <w:color w:val="FF0000"/>
          <w:strike w:val="1"/>
        </w:rPr>
        <w:t>opposite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applicable Level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then in effect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(based on the Consolidated Leverage Ratio)</w:t>
      </w:r>
      <w:r>
        <w:rPr>
          <w:rFonts w:ascii="Times New Roman" w:cs="Times New Roman" w:eastAsia="Times New Roman" w:hAnsi="Times New Roman"/>
          <w:sz w:val="18"/>
          <w:szCs w:val="18"/>
          <w:color w:val="000000"/>
        </w:rPr>
        <w:t>, it being understood that the Applicable Rate for (a) Revolving Loans that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are Base Rate Loans shall be the percentage set forth under the column “Revolving Loans” and “Base Rate”, (b) Revolving Loans that are Term SOFR Loans shall be the percentage set forth under the column “Revolving Loans” and “Term SOFR &amp; Letter of Credit Fee”, (c) that portion of the Term Loan comprised of Base Rate Loans shall be the percentage set forth under the column “Term Loan” and “Base Rate”, (d) that portion of the Term Loan comprised of Term SOFR Loans shall be the percentage set forth under the column “Term Loan” and “Term SOFR &amp; Letter of Credit Fee”, (e) the Letter of Credit Fee shall be the percentage set forth under the column “Revolving Loans” and “Term SOFR &amp; Letter of Credit Fee”, and (f) the Commitment Fee shall be the percentage set forth under the column “Commitment Fee”:</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20" w:type="dxa"/>
            <w:vAlign w:val="bottom"/>
            <w:tcBorders>
              <w:top w:val="single" w:sz="8" w:color="010101"/>
              <w:left w:val="single" w:sz="8" w:color="010101"/>
            </w:tcBorders>
          </w:tcPr>
          <w:p>
            <w:pPr>
              <w:spacing w:after="0"/>
              <w:rPr>
                <w:sz w:val="18"/>
                <w:szCs w:val="18"/>
                <w:color w:val="auto"/>
              </w:rPr>
            </w:pPr>
          </w:p>
        </w:tc>
        <w:tc>
          <w:tcPr>
            <w:tcW w:w="400" w:type="dxa"/>
            <w:vAlign w:val="bottom"/>
            <w:tcBorders>
              <w:top w:val="single" w:sz="8" w:color="010101"/>
            </w:tcBorders>
          </w:tcPr>
          <w:p>
            <w:pPr>
              <w:spacing w:after="0"/>
              <w:rPr>
                <w:sz w:val="18"/>
                <w:szCs w:val="18"/>
                <w:color w:val="auto"/>
              </w:rPr>
            </w:pPr>
          </w:p>
        </w:tc>
        <w:tc>
          <w:tcPr>
            <w:tcW w:w="320" w:type="dxa"/>
            <w:vAlign w:val="bottom"/>
            <w:tcBorders>
              <w:top w:val="single" w:sz="8" w:color="010101"/>
              <w:right w:val="single" w:sz="8" w:color="010101"/>
            </w:tcBorders>
          </w:tcPr>
          <w:p>
            <w:pPr>
              <w:spacing w:after="0"/>
              <w:rPr>
                <w:sz w:val="18"/>
                <w:szCs w:val="18"/>
                <w:color w:val="auto"/>
              </w:rPr>
            </w:pPr>
          </w:p>
        </w:tc>
        <w:tc>
          <w:tcPr>
            <w:tcW w:w="1920" w:type="dxa"/>
            <w:vAlign w:val="bottom"/>
            <w:tcBorders>
              <w:top w:val="single" w:sz="8" w:color="010101"/>
              <w:right w:val="single" w:sz="8" w:color="010101"/>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FF0000"/>
                <w:strike w:val="1"/>
              </w:rPr>
              <w:t>Consolidated</w:t>
            </w:r>
          </w:p>
        </w:tc>
        <w:tc>
          <w:tcPr>
            <w:tcW w:w="480" w:type="dxa"/>
            <w:vAlign w:val="bottom"/>
            <w:tcBorders>
              <w:top w:val="single" w:sz="8" w:color="010101"/>
            </w:tcBorders>
          </w:tcPr>
          <w:p>
            <w:pPr>
              <w:spacing w:after="0"/>
              <w:rPr>
                <w:sz w:val="18"/>
                <w:szCs w:val="18"/>
                <w:color w:val="auto"/>
              </w:rPr>
            </w:pPr>
          </w:p>
        </w:tc>
        <w:tc>
          <w:tcPr>
            <w:tcW w:w="160" w:type="dxa"/>
            <w:vAlign w:val="bottom"/>
            <w:tcBorders>
              <w:top w:val="single" w:sz="8" w:color="010101"/>
            </w:tcBorders>
          </w:tcPr>
          <w:p>
            <w:pPr>
              <w:spacing w:after="0"/>
              <w:rPr>
                <w:sz w:val="18"/>
                <w:szCs w:val="18"/>
                <w:color w:val="auto"/>
              </w:rPr>
            </w:pPr>
          </w:p>
        </w:tc>
        <w:tc>
          <w:tcPr>
            <w:tcW w:w="1940" w:type="dxa"/>
            <w:vAlign w:val="bottom"/>
            <w:tcBorders>
              <w:top w:val="single" w:sz="8" w:color="010101"/>
            </w:tcBorders>
            <w:gridSpan w:val="5"/>
          </w:tcPr>
          <w:p>
            <w:pPr>
              <w:ind w:left="20"/>
              <w:spacing w:after="0"/>
              <w:rPr>
                <w:sz w:val="20"/>
                <w:szCs w:val="20"/>
                <w:color w:val="auto"/>
              </w:rPr>
            </w:pPr>
            <w:r>
              <w:rPr>
                <w:rFonts w:ascii="Times New Roman" w:cs="Times New Roman" w:eastAsia="Times New Roman" w:hAnsi="Times New Roman"/>
                <w:sz w:val="18"/>
                <w:szCs w:val="18"/>
                <w:color w:val="auto"/>
              </w:rPr>
              <w:t>Term SOFR &amp; Letter</w:t>
            </w:r>
          </w:p>
        </w:tc>
        <w:tc>
          <w:tcPr>
            <w:tcW w:w="340" w:type="dxa"/>
            <w:vAlign w:val="bottom"/>
            <w:tcBorders>
              <w:top w:val="single" w:sz="8" w:color="010101"/>
              <w:right w:val="single" w:sz="8" w:color="010101"/>
            </w:tcBorders>
          </w:tcPr>
          <w:p>
            <w:pPr>
              <w:spacing w:after="0"/>
              <w:rPr>
                <w:sz w:val="18"/>
                <w:szCs w:val="18"/>
                <w:color w:val="auto"/>
              </w:rPr>
            </w:pPr>
          </w:p>
        </w:tc>
        <w:tc>
          <w:tcPr>
            <w:tcW w:w="540" w:type="dxa"/>
            <w:vAlign w:val="bottom"/>
            <w:tcBorders>
              <w:top w:val="single" w:sz="8" w:color="010101"/>
            </w:tcBorders>
          </w:tcPr>
          <w:p>
            <w:pPr>
              <w:spacing w:after="0"/>
              <w:rPr>
                <w:sz w:val="18"/>
                <w:szCs w:val="18"/>
                <w:color w:val="auto"/>
              </w:rPr>
            </w:pPr>
          </w:p>
        </w:tc>
        <w:tc>
          <w:tcPr>
            <w:tcW w:w="140" w:type="dxa"/>
            <w:vAlign w:val="bottom"/>
            <w:tcBorders>
              <w:top w:val="single" w:sz="8" w:color="010101"/>
            </w:tcBorders>
          </w:tcPr>
          <w:p>
            <w:pPr>
              <w:spacing w:after="0"/>
              <w:rPr>
                <w:sz w:val="18"/>
                <w:szCs w:val="18"/>
                <w:color w:val="auto"/>
              </w:rPr>
            </w:pPr>
          </w:p>
        </w:tc>
        <w:tc>
          <w:tcPr>
            <w:tcW w:w="320" w:type="dxa"/>
            <w:vAlign w:val="bottom"/>
            <w:tcBorders>
              <w:top w:val="single" w:sz="8" w:color="010101"/>
            </w:tcBorders>
          </w:tcPr>
          <w:p>
            <w:pPr>
              <w:spacing w:after="0"/>
              <w:rPr>
                <w:sz w:val="18"/>
                <w:szCs w:val="18"/>
                <w:color w:val="auto"/>
              </w:rPr>
            </w:pPr>
          </w:p>
        </w:tc>
        <w:tc>
          <w:tcPr>
            <w:tcW w:w="880" w:type="dxa"/>
            <w:vAlign w:val="bottom"/>
            <w:tcBorders>
              <w:top w:val="single" w:sz="8" w:color="010101"/>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Base Rate</w:t>
            </w:r>
          </w:p>
        </w:tc>
        <w:tc>
          <w:tcPr>
            <w:tcW w:w="160" w:type="dxa"/>
            <w:vAlign w:val="bottom"/>
            <w:tcBorders>
              <w:top w:val="single" w:sz="8" w:color="010101"/>
            </w:tcBorders>
          </w:tcPr>
          <w:p>
            <w:pPr>
              <w:spacing w:after="0"/>
              <w:rPr>
                <w:sz w:val="18"/>
                <w:szCs w:val="18"/>
                <w:color w:val="auto"/>
              </w:rPr>
            </w:pPr>
          </w:p>
        </w:tc>
        <w:tc>
          <w:tcPr>
            <w:tcW w:w="160" w:type="dxa"/>
            <w:vAlign w:val="bottom"/>
            <w:tcBorders>
              <w:top w:val="single" w:sz="8" w:color="010101"/>
            </w:tcBorders>
          </w:tcPr>
          <w:p>
            <w:pPr>
              <w:spacing w:after="0"/>
              <w:rPr>
                <w:sz w:val="18"/>
                <w:szCs w:val="18"/>
                <w:color w:val="auto"/>
              </w:rPr>
            </w:pPr>
          </w:p>
        </w:tc>
        <w:tc>
          <w:tcPr>
            <w:tcW w:w="320" w:type="dxa"/>
            <w:vAlign w:val="bottom"/>
            <w:tcBorders>
              <w:top w:val="single" w:sz="8" w:color="010101"/>
            </w:tcBorders>
          </w:tcPr>
          <w:p>
            <w:pPr>
              <w:spacing w:after="0"/>
              <w:rPr>
                <w:sz w:val="18"/>
                <w:szCs w:val="18"/>
                <w:color w:val="auto"/>
              </w:rPr>
            </w:pPr>
          </w:p>
        </w:tc>
        <w:tc>
          <w:tcPr>
            <w:tcW w:w="500" w:type="dxa"/>
            <w:vAlign w:val="bottom"/>
            <w:tcBorders>
              <w:top w:val="single" w:sz="8" w:color="010101"/>
              <w:right w:val="single" w:sz="8" w:color="010101"/>
            </w:tcBorders>
          </w:tcPr>
          <w:p>
            <w:pPr>
              <w:spacing w:after="0"/>
              <w:rPr>
                <w:sz w:val="18"/>
                <w:szCs w:val="18"/>
                <w:color w:val="auto"/>
              </w:rPr>
            </w:pPr>
          </w:p>
        </w:tc>
        <w:tc>
          <w:tcPr>
            <w:tcW w:w="2340" w:type="dxa"/>
            <w:vAlign w:val="bottom"/>
            <w:tcBorders>
              <w:top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320" w:type="dxa"/>
            <w:vAlign w:val="bottom"/>
            <w:tcBorders>
              <w:left w:val="single" w:sz="8" w:color="010101"/>
            </w:tcBorders>
          </w:tcPr>
          <w:p>
            <w:pPr>
              <w:spacing w:after="0"/>
              <w:rPr>
                <w:sz w:val="9"/>
                <w:szCs w:val="9"/>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0000"/>
                <w:strike w:val="1"/>
                <w:w w:val="97"/>
              </w:rPr>
              <w:t>Level</w:t>
            </w:r>
          </w:p>
        </w:tc>
        <w:tc>
          <w:tcPr>
            <w:tcW w:w="320" w:type="dxa"/>
            <w:vAlign w:val="bottom"/>
            <w:tcBorders>
              <w:right w:val="single" w:sz="8" w:color="010101"/>
            </w:tcBorders>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FF0000"/>
                <w:strike w:val="1"/>
              </w:rPr>
              <w:t>Leverage</w:t>
            </w:r>
          </w:p>
        </w:tc>
        <w:tc>
          <w:tcPr>
            <w:tcW w:w="620" w:type="dxa"/>
            <w:vAlign w:val="bottom"/>
            <w:tcBorders>
              <w:right w:val="single" w:sz="8" w:color="010101"/>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w w:val="98"/>
              </w:rPr>
              <w:t>of Credit Fee</w:t>
            </w:r>
          </w:p>
        </w:tc>
        <w:tc>
          <w:tcPr>
            <w:tcW w:w="340" w:type="dxa"/>
            <w:vAlign w:val="bottom"/>
            <w:tcBorders>
              <w:right w:val="single" w:sz="8" w:color="010101"/>
            </w:tcBorders>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right w:val="single" w:sz="8" w:color="010101"/>
            </w:tcBorders>
          </w:tcPr>
          <w:p>
            <w:pPr>
              <w:spacing w:after="0"/>
              <w:rPr>
                <w:sz w:val="9"/>
                <w:szCs w:val="9"/>
                <w:color w:val="auto"/>
              </w:rPr>
            </w:pPr>
          </w:p>
        </w:tc>
        <w:tc>
          <w:tcPr>
            <w:tcW w:w="2340" w:type="dxa"/>
            <w:vAlign w:val="bottom"/>
            <w:tcBorders>
              <w:right w:val="single" w:sz="8" w:color="010101"/>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Commitment</w:t>
            </w:r>
          </w:p>
        </w:tc>
        <w:tc>
          <w:tcPr>
            <w:tcW w:w="0" w:type="dxa"/>
            <w:vAlign w:val="bottom"/>
          </w:tcPr>
          <w:p>
            <w:pPr>
              <w:spacing w:after="0"/>
              <w:rPr>
                <w:sz w:val="1"/>
                <w:szCs w:val="1"/>
                <w:color w:val="auto"/>
              </w:rPr>
            </w:pPr>
          </w:p>
        </w:tc>
      </w:tr>
      <w:tr>
        <w:trPr>
          <w:trHeight w:val="122"/>
        </w:trPr>
        <w:tc>
          <w:tcPr>
            <w:tcW w:w="320" w:type="dxa"/>
            <w:vAlign w:val="bottom"/>
            <w:tcBorders>
              <w:left w:val="single" w:sz="8" w:color="010101"/>
            </w:tcBorders>
          </w:tcPr>
          <w:p>
            <w:pPr>
              <w:spacing w:after="0"/>
              <w:rPr>
                <w:sz w:val="10"/>
                <w:szCs w:val="10"/>
                <w:color w:val="auto"/>
              </w:rPr>
            </w:pPr>
          </w:p>
        </w:tc>
        <w:tc>
          <w:tcPr>
            <w:tcW w:w="400" w:type="dxa"/>
            <w:vAlign w:val="bottom"/>
            <w:vMerge w:val="continue"/>
          </w:tcPr>
          <w:p>
            <w:pPr>
              <w:spacing w:after="0"/>
              <w:rPr>
                <w:sz w:val="10"/>
                <w:szCs w:val="10"/>
                <w:color w:val="auto"/>
              </w:rPr>
            </w:pPr>
          </w:p>
        </w:tc>
        <w:tc>
          <w:tcPr>
            <w:tcW w:w="320" w:type="dxa"/>
            <w:vAlign w:val="bottom"/>
            <w:tcBorders>
              <w:right w:val="single" w:sz="8" w:color="010101"/>
            </w:tcBorders>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20" w:type="dxa"/>
            <w:vAlign w:val="bottom"/>
            <w:tcBorders>
              <w:right w:val="single" w:sz="8" w:color="010101"/>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4"/>
            <w:vMerge w:val="continue"/>
          </w:tcPr>
          <w:p>
            <w:pPr>
              <w:spacing w:after="0"/>
              <w:rPr>
                <w:sz w:val="10"/>
                <w:szCs w:val="10"/>
                <w:color w:val="auto"/>
              </w:rPr>
            </w:pPr>
          </w:p>
        </w:tc>
        <w:tc>
          <w:tcPr>
            <w:tcW w:w="340" w:type="dxa"/>
            <w:vAlign w:val="bottom"/>
            <w:tcBorders>
              <w:bottom w:val="single" w:sz="8" w:color="auto"/>
              <w:right w:val="single" w:sz="8" w:color="010101"/>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010101"/>
            </w:tcBorders>
          </w:tcPr>
          <w:p>
            <w:pPr>
              <w:spacing w:after="0"/>
              <w:rPr>
                <w:sz w:val="10"/>
                <w:szCs w:val="10"/>
                <w:color w:val="auto"/>
              </w:rPr>
            </w:pPr>
          </w:p>
        </w:tc>
        <w:tc>
          <w:tcPr>
            <w:tcW w:w="2340" w:type="dxa"/>
            <w:vAlign w:val="bottom"/>
            <w:tcBorders>
              <w:right w:val="single" w:sz="8" w:color="010101"/>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20" w:type="dxa"/>
            <w:vAlign w:val="bottom"/>
            <w:tcBorders>
              <w:left w:val="single" w:sz="8" w:color="010101"/>
            </w:tcBorders>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Borders>
              <w:right w:val="single" w:sz="8" w:color="010101"/>
            </w:tcBorders>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FF0000"/>
                <w:strike w:val="1"/>
                <w:w w:val="97"/>
              </w:rPr>
              <w:t>Ratio</w:t>
            </w:r>
          </w:p>
        </w:tc>
        <w:tc>
          <w:tcPr>
            <w:tcW w:w="620" w:type="dxa"/>
            <w:vAlign w:val="bottom"/>
            <w:tcBorders>
              <w:right w:val="single" w:sz="8" w:color="010101"/>
            </w:tcBorders>
          </w:tcPr>
          <w:p>
            <w:pPr>
              <w:spacing w:after="0"/>
              <w:rPr>
                <w:sz w:val="16"/>
                <w:szCs w:val="16"/>
                <w:color w:val="auto"/>
              </w:rPr>
            </w:pPr>
          </w:p>
        </w:tc>
        <w:tc>
          <w:tcPr>
            <w:tcW w:w="1460" w:type="dxa"/>
            <w:vAlign w:val="bottom"/>
            <w:tcBorders>
              <w:right w:val="single" w:sz="8" w:color="010101"/>
            </w:tcBorders>
            <w:gridSpan w:val="4"/>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Revolving</w:t>
            </w:r>
          </w:p>
        </w:tc>
        <w:tc>
          <w:tcPr>
            <w:tcW w:w="1120" w:type="dxa"/>
            <w:vAlign w:val="bottom"/>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6"/>
              </w:rPr>
              <w:t>Term Loan</w:t>
            </w:r>
          </w:p>
        </w:tc>
        <w:tc>
          <w:tcPr>
            <w:tcW w:w="340" w:type="dxa"/>
            <w:vAlign w:val="bottom"/>
            <w:tcBorders>
              <w:right w:val="single" w:sz="8" w:color="010101"/>
            </w:tcBorders>
          </w:tcPr>
          <w:p>
            <w:pPr>
              <w:spacing w:after="0"/>
              <w:rPr>
                <w:sz w:val="16"/>
                <w:szCs w:val="16"/>
                <w:color w:val="auto"/>
              </w:rPr>
            </w:pPr>
          </w:p>
        </w:tc>
        <w:tc>
          <w:tcPr>
            <w:tcW w:w="1560" w:type="dxa"/>
            <w:vAlign w:val="bottom"/>
            <w:tcBorders>
              <w:right w:val="single" w:sz="8" w:color="010101"/>
            </w:tcBorders>
            <w:gridSpan w:val="4"/>
          </w:tcPr>
          <w:p>
            <w:pPr>
              <w:jc w:val="center"/>
              <w:spacing w:after="0" w:line="191" w:lineRule="exact"/>
              <w:rPr>
                <w:sz w:val="20"/>
                <w:szCs w:val="20"/>
                <w:color w:val="auto"/>
              </w:rPr>
            </w:pPr>
            <w:r>
              <w:rPr>
                <w:rFonts w:ascii="Times New Roman" w:cs="Times New Roman" w:eastAsia="Times New Roman" w:hAnsi="Times New Roman"/>
                <w:sz w:val="18"/>
                <w:szCs w:val="18"/>
                <w:color w:val="auto"/>
              </w:rPr>
              <w:t>Revolving</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010101"/>
            </w:tcBorders>
            <w:gridSpan w:val="3"/>
          </w:tcPr>
          <w:p>
            <w:pPr>
              <w:jc w:val="center"/>
              <w:ind w:right="520"/>
              <w:spacing w:after="0" w:line="191" w:lineRule="exact"/>
              <w:rPr>
                <w:sz w:val="20"/>
                <w:szCs w:val="20"/>
                <w:color w:val="auto"/>
              </w:rPr>
            </w:pPr>
            <w:r>
              <w:rPr>
                <w:rFonts w:ascii="Times New Roman" w:cs="Times New Roman" w:eastAsia="Times New Roman" w:hAnsi="Times New Roman"/>
                <w:sz w:val="18"/>
                <w:szCs w:val="18"/>
                <w:color w:val="auto"/>
                <w:w w:val="97"/>
              </w:rPr>
              <w:t>Term</w:t>
            </w:r>
          </w:p>
        </w:tc>
        <w:tc>
          <w:tcPr>
            <w:tcW w:w="2340" w:type="dxa"/>
            <w:vAlign w:val="bottom"/>
            <w:tcBorders>
              <w:right w:val="single" w:sz="8" w:color="010101"/>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126"/>
        </w:trPr>
        <w:tc>
          <w:tcPr>
            <w:tcW w:w="320" w:type="dxa"/>
            <w:vAlign w:val="bottom"/>
            <w:tcBorders>
              <w:left w:val="single" w:sz="8" w:color="010101"/>
            </w:tcBorders>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Borders>
              <w:right w:val="single" w:sz="8" w:color="010101"/>
            </w:tcBorders>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Borders>
              <w:right w:val="single" w:sz="8" w:color="010101"/>
            </w:tcBorders>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Borders>
              <w:right w:val="single" w:sz="8" w:color="010101"/>
            </w:tcBorders>
            <w:gridSpan w:val="3"/>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Loans</w:t>
            </w:r>
          </w:p>
        </w:tc>
        <w:tc>
          <w:tcPr>
            <w:tcW w:w="1120" w:type="dxa"/>
            <w:vAlign w:val="bottom"/>
            <w:gridSpan w:val="3"/>
            <w:vMerge w:val="continue"/>
          </w:tcPr>
          <w:p>
            <w:pPr>
              <w:spacing w:after="0"/>
              <w:rPr>
                <w:sz w:val="10"/>
                <w:szCs w:val="10"/>
                <w:color w:val="auto"/>
              </w:rPr>
            </w:pPr>
          </w:p>
        </w:tc>
        <w:tc>
          <w:tcPr>
            <w:tcW w:w="340" w:type="dxa"/>
            <w:vAlign w:val="bottom"/>
            <w:tcBorders>
              <w:right w:val="single" w:sz="8" w:color="010101"/>
            </w:tcBorders>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Borders>
              <w:right w:val="single" w:sz="8" w:color="010101"/>
            </w:tcBorders>
            <w:gridSpan w:val="3"/>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9"/>
              </w:rPr>
              <w:t>Loans</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right w:val="single" w:sz="8" w:color="010101"/>
            </w:tcBorders>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color w:val="auto"/>
                <w:w w:val="97"/>
              </w:rPr>
              <w:t>Loan</w:t>
            </w:r>
          </w:p>
        </w:tc>
        <w:tc>
          <w:tcPr>
            <w:tcW w:w="2340" w:type="dxa"/>
            <w:vAlign w:val="bottom"/>
            <w:tcBorders>
              <w:right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0" w:type="dxa"/>
            <w:vAlign w:val="bottom"/>
            <w:tcBorders>
              <w:left w:val="single" w:sz="8" w:color="010101"/>
              <w:bottom w:val="single" w:sz="8" w:color="010101"/>
            </w:tcBorders>
          </w:tcPr>
          <w:p>
            <w:pPr>
              <w:spacing w:after="0"/>
              <w:rPr>
                <w:sz w:val="9"/>
                <w:szCs w:val="9"/>
                <w:color w:val="auto"/>
              </w:rPr>
            </w:pPr>
          </w:p>
        </w:tc>
        <w:tc>
          <w:tcPr>
            <w:tcW w:w="400" w:type="dxa"/>
            <w:vAlign w:val="bottom"/>
            <w:tcBorders>
              <w:bottom w:val="single" w:sz="8" w:color="010101"/>
            </w:tcBorders>
          </w:tcPr>
          <w:p>
            <w:pPr>
              <w:spacing w:after="0"/>
              <w:rPr>
                <w:sz w:val="9"/>
                <w:szCs w:val="9"/>
                <w:color w:val="auto"/>
              </w:rPr>
            </w:pPr>
          </w:p>
        </w:tc>
        <w:tc>
          <w:tcPr>
            <w:tcW w:w="320" w:type="dxa"/>
            <w:vAlign w:val="bottom"/>
            <w:tcBorders>
              <w:bottom w:val="single" w:sz="8" w:color="010101"/>
              <w:right w:val="single" w:sz="8" w:color="010101"/>
            </w:tcBorders>
          </w:tcPr>
          <w:p>
            <w:pPr>
              <w:spacing w:after="0"/>
              <w:rPr>
                <w:sz w:val="9"/>
                <w:szCs w:val="9"/>
                <w:color w:val="auto"/>
              </w:rPr>
            </w:pPr>
          </w:p>
        </w:tc>
        <w:tc>
          <w:tcPr>
            <w:tcW w:w="580" w:type="dxa"/>
            <w:vAlign w:val="bottom"/>
            <w:tcBorders>
              <w:bottom w:val="single" w:sz="8" w:color="010101"/>
            </w:tcBorders>
          </w:tcPr>
          <w:p>
            <w:pPr>
              <w:spacing w:after="0"/>
              <w:rPr>
                <w:sz w:val="9"/>
                <w:szCs w:val="9"/>
                <w:color w:val="auto"/>
              </w:rPr>
            </w:pPr>
          </w:p>
        </w:tc>
        <w:tc>
          <w:tcPr>
            <w:tcW w:w="720" w:type="dxa"/>
            <w:vAlign w:val="bottom"/>
            <w:tcBorders>
              <w:bottom w:val="single" w:sz="8" w:color="010101"/>
            </w:tcBorders>
          </w:tcPr>
          <w:p>
            <w:pPr>
              <w:spacing w:after="0"/>
              <w:rPr>
                <w:sz w:val="9"/>
                <w:szCs w:val="9"/>
                <w:color w:val="auto"/>
              </w:rPr>
            </w:pPr>
          </w:p>
        </w:tc>
        <w:tc>
          <w:tcPr>
            <w:tcW w:w="620" w:type="dxa"/>
            <w:vAlign w:val="bottom"/>
            <w:tcBorders>
              <w:bottom w:val="single" w:sz="8" w:color="010101"/>
              <w:right w:val="single" w:sz="8" w:color="010101"/>
            </w:tcBorders>
          </w:tcPr>
          <w:p>
            <w:pPr>
              <w:spacing w:after="0"/>
              <w:rPr>
                <w:sz w:val="9"/>
                <w:szCs w:val="9"/>
                <w:color w:val="auto"/>
              </w:rPr>
            </w:pPr>
          </w:p>
        </w:tc>
        <w:tc>
          <w:tcPr>
            <w:tcW w:w="480" w:type="dxa"/>
            <w:vAlign w:val="bottom"/>
            <w:tcBorders>
              <w:bottom w:val="single" w:sz="8" w:color="010101"/>
            </w:tcBorders>
          </w:tcPr>
          <w:p>
            <w:pPr>
              <w:spacing w:after="0"/>
              <w:rPr>
                <w:sz w:val="9"/>
                <w:szCs w:val="9"/>
                <w:color w:val="auto"/>
              </w:rPr>
            </w:pPr>
          </w:p>
        </w:tc>
        <w:tc>
          <w:tcPr>
            <w:tcW w:w="980" w:type="dxa"/>
            <w:vAlign w:val="bottom"/>
            <w:tcBorders>
              <w:bottom w:val="single" w:sz="8" w:color="010101"/>
              <w:right w:val="single" w:sz="8" w:color="010101"/>
            </w:tcBorders>
            <w:gridSpan w:val="3"/>
            <w:vMerge w:val="continue"/>
          </w:tcPr>
          <w:p>
            <w:pPr>
              <w:spacing w:after="0"/>
              <w:rPr>
                <w:sz w:val="9"/>
                <w:szCs w:val="9"/>
                <w:color w:val="auto"/>
              </w:rPr>
            </w:pPr>
          </w:p>
        </w:tc>
        <w:tc>
          <w:tcPr>
            <w:tcW w:w="640" w:type="dxa"/>
            <w:vAlign w:val="bottom"/>
            <w:tcBorders>
              <w:bottom w:val="single" w:sz="8" w:color="010101"/>
            </w:tcBorders>
          </w:tcPr>
          <w:p>
            <w:pPr>
              <w:spacing w:after="0"/>
              <w:rPr>
                <w:sz w:val="9"/>
                <w:szCs w:val="9"/>
                <w:color w:val="auto"/>
              </w:rPr>
            </w:pPr>
          </w:p>
        </w:tc>
        <w:tc>
          <w:tcPr>
            <w:tcW w:w="32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340" w:type="dxa"/>
            <w:vAlign w:val="bottom"/>
            <w:tcBorders>
              <w:bottom w:val="single" w:sz="8" w:color="010101"/>
              <w:right w:val="single" w:sz="8" w:color="010101"/>
            </w:tcBorders>
          </w:tcPr>
          <w:p>
            <w:pPr>
              <w:spacing w:after="0"/>
              <w:rPr>
                <w:sz w:val="9"/>
                <w:szCs w:val="9"/>
                <w:color w:val="auto"/>
              </w:rPr>
            </w:pPr>
          </w:p>
        </w:tc>
        <w:tc>
          <w:tcPr>
            <w:tcW w:w="540" w:type="dxa"/>
            <w:vAlign w:val="bottom"/>
            <w:tcBorders>
              <w:bottom w:val="single" w:sz="8" w:color="010101"/>
            </w:tcBorders>
          </w:tcPr>
          <w:p>
            <w:pPr>
              <w:spacing w:after="0"/>
              <w:rPr>
                <w:sz w:val="9"/>
                <w:szCs w:val="9"/>
                <w:color w:val="auto"/>
              </w:rPr>
            </w:pPr>
          </w:p>
        </w:tc>
        <w:tc>
          <w:tcPr>
            <w:tcW w:w="1020" w:type="dxa"/>
            <w:vAlign w:val="bottom"/>
            <w:tcBorders>
              <w:bottom w:val="single" w:sz="8" w:color="010101"/>
              <w:right w:val="single" w:sz="8" w:color="010101"/>
            </w:tcBorders>
            <w:gridSpan w:val="3"/>
            <w:vMerge w:val="continue"/>
          </w:tcPr>
          <w:p>
            <w:pPr>
              <w:spacing w:after="0"/>
              <w:rPr>
                <w:sz w:val="9"/>
                <w:szCs w:val="9"/>
                <w:color w:val="auto"/>
              </w:rPr>
            </w:pPr>
          </w:p>
        </w:tc>
        <w:tc>
          <w:tcPr>
            <w:tcW w:w="320" w:type="dxa"/>
            <w:vAlign w:val="bottom"/>
            <w:tcBorders>
              <w:bottom w:val="single" w:sz="8" w:color="010101"/>
            </w:tcBorders>
          </w:tcPr>
          <w:p>
            <w:pPr>
              <w:spacing w:after="0"/>
              <w:rPr>
                <w:sz w:val="9"/>
                <w:szCs w:val="9"/>
                <w:color w:val="auto"/>
              </w:rPr>
            </w:pPr>
          </w:p>
        </w:tc>
        <w:tc>
          <w:tcPr>
            <w:tcW w:w="160" w:type="dxa"/>
            <w:vAlign w:val="bottom"/>
            <w:tcBorders>
              <w:bottom w:val="single" w:sz="8" w:color="010101"/>
            </w:tcBorders>
          </w:tcPr>
          <w:p>
            <w:pPr>
              <w:spacing w:after="0"/>
              <w:rPr>
                <w:sz w:val="9"/>
                <w:szCs w:val="9"/>
                <w:color w:val="auto"/>
              </w:rPr>
            </w:pPr>
          </w:p>
        </w:tc>
        <w:tc>
          <w:tcPr>
            <w:tcW w:w="980" w:type="dxa"/>
            <w:vAlign w:val="bottom"/>
            <w:tcBorders>
              <w:bottom w:val="single" w:sz="8" w:color="010101"/>
              <w:right w:val="single" w:sz="8" w:color="010101"/>
            </w:tcBorders>
            <w:gridSpan w:val="3"/>
            <w:vMerge w:val="continue"/>
          </w:tcPr>
          <w:p>
            <w:pPr>
              <w:spacing w:after="0"/>
              <w:rPr>
                <w:sz w:val="9"/>
                <w:szCs w:val="9"/>
                <w:color w:val="auto"/>
              </w:rPr>
            </w:pPr>
          </w:p>
        </w:tc>
        <w:tc>
          <w:tcPr>
            <w:tcW w:w="2340" w:type="dxa"/>
            <w:vAlign w:val="bottom"/>
            <w:tcBorders>
              <w:bottom w:val="single" w:sz="8" w:color="010101"/>
              <w:right w:val="single" w:sz="8" w:color="010101"/>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20" w:type="dxa"/>
            <w:vAlign w:val="bottom"/>
            <w:tcBorders>
              <w:left w:val="single" w:sz="8" w:color="010101"/>
            </w:tcBorders>
          </w:tcPr>
          <w:p>
            <w:pPr>
              <w:spacing w:after="0"/>
              <w:rPr>
                <w:sz w:val="14"/>
                <w:szCs w:val="14"/>
                <w:color w:val="auto"/>
              </w:rPr>
            </w:pPr>
          </w:p>
        </w:tc>
        <w:tc>
          <w:tcPr>
            <w:tcW w:w="4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FF0000"/>
                <w:strike w:val="1"/>
                <w:w w:val="88"/>
              </w:rPr>
              <w:t>1</w:t>
            </w:r>
          </w:p>
        </w:tc>
        <w:tc>
          <w:tcPr>
            <w:tcW w:w="320" w:type="dxa"/>
            <w:vAlign w:val="bottom"/>
            <w:tcBorders>
              <w:right w:val="single" w:sz="8" w:color="010101"/>
            </w:tcBorders>
          </w:tcPr>
          <w:p>
            <w:pPr>
              <w:spacing w:after="0"/>
              <w:rPr>
                <w:sz w:val="14"/>
                <w:szCs w:val="14"/>
                <w:color w:val="auto"/>
              </w:rPr>
            </w:pPr>
          </w:p>
        </w:tc>
        <w:tc>
          <w:tcPr>
            <w:tcW w:w="1920" w:type="dxa"/>
            <w:vAlign w:val="bottom"/>
            <w:tcBorders>
              <w:right w:val="single" w:sz="8" w:color="010101"/>
            </w:tcBorders>
            <w:gridSpan w:val="3"/>
          </w:tcPr>
          <w:p>
            <w:pPr>
              <w:jc w:val="center"/>
              <w:ind w:right="20"/>
              <w:spacing w:after="0" w:line="169" w:lineRule="exact"/>
              <w:rPr>
                <w:sz w:val="20"/>
                <w:szCs w:val="20"/>
                <w:color w:val="auto"/>
              </w:rPr>
            </w:pPr>
            <w:r>
              <w:rPr>
                <w:rFonts w:ascii="Times New Roman" w:cs="Times New Roman" w:eastAsia="Times New Roman" w:hAnsi="Times New Roman"/>
                <w:sz w:val="18"/>
                <w:szCs w:val="18"/>
                <w:color w:val="FF0000"/>
                <w:strike w:val="1"/>
                <w:w w:val="99"/>
              </w:rPr>
              <w:t>&gt;3.50:1.00</w:t>
            </w:r>
          </w:p>
        </w:tc>
        <w:tc>
          <w:tcPr>
            <w:tcW w:w="6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3.00</w:t>
            </w:r>
          </w:p>
        </w:tc>
        <w:tc>
          <w:tcPr>
            <w:tcW w:w="820" w:type="dxa"/>
            <w:vAlign w:val="bottom"/>
            <w:tcBorders>
              <w:right w:val="single" w:sz="8" w:color="010101"/>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4.00</w:t>
            </w:r>
            <w:r>
              <w:rPr>
                <w:rFonts w:ascii="Times New Roman" w:cs="Times New Roman" w:eastAsia="Times New Roman" w:hAnsi="Times New Roman"/>
                <w:sz w:val="18"/>
                <w:szCs w:val="18"/>
                <w:color w:val="000000"/>
              </w:rPr>
              <w:t>%</w:t>
            </w: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3.00</w:t>
            </w:r>
          </w:p>
        </w:tc>
        <w:tc>
          <w:tcPr>
            <w:tcW w:w="48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8"/>
                <w:szCs w:val="18"/>
                <w:color w:val="0000FF"/>
                <w:w w:val="94"/>
              </w:rPr>
              <w:t>4.00</w:t>
            </w:r>
            <w:r>
              <w:rPr>
                <w:rFonts w:ascii="Times New Roman" w:cs="Times New Roman" w:eastAsia="Times New Roman" w:hAnsi="Times New Roman"/>
                <w:sz w:val="18"/>
                <w:szCs w:val="18"/>
                <w:color w:val="000000"/>
                <w:w w:val="94"/>
              </w:rPr>
              <w:t>%</w:t>
            </w:r>
          </w:p>
        </w:tc>
        <w:tc>
          <w:tcPr>
            <w:tcW w:w="340" w:type="dxa"/>
            <w:vAlign w:val="bottom"/>
            <w:tcBorders>
              <w:right w:val="single" w:sz="8" w:color="010101"/>
            </w:tcBorders>
          </w:tcPr>
          <w:p>
            <w:pPr>
              <w:spacing w:after="0"/>
              <w:rPr>
                <w:sz w:val="14"/>
                <w:szCs w:val="14"/>
                <w:color w:val="auto"/>
              </w:rPr>
            </w:pPr>
          </w:p>
        </w:tc>
        <w:tc>
          <w:tcPr>
            <w:tcW w:w="6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2.00</w:t>
            </w:r>
          </w:p>
        </w:tc>
        <w:tc>
          <w:tcPr>
            <w:tcW w:w="880" w:type="dxa"/>
            <w:vAlign w:val="bottom"/>
            <w:tcBorders>
              <w:right w:val="single" w:sz="8" w:color="010101"/>
            </w:tcBorders>
            <w:gridSpan w:val="2"/>
          </w:tcPr>
          <w:p>
            <w:pPr>
              <w:jc w:val="right"/>
              <w:ind w:right="310"/>
              <w:spacing w:after="0" w:line="169" w:lineRule="exact"/>
              <w:rPr>
                <w:sz w:val="20"/>
                <w:szCs w:val="20"/>
                <w:color w:val="auto"/>
              </w:rPr>
            </w:pPr>
            <w:r>
              <w:rPr>
                <w:rFonts w:ascii="Times New Roman" w:cs="Times New Roman" w:eastAsia="Times New Roman" w:hAnsi="Times New Roman"/>
                <w:sz w:val="18"/>
                <w:szCs w:val="18"/>
                <w:color w:val="0000FF"/>
                <w:w w:val="98"/>
              </w:rPr>
              <w:t>3.00</w:t>
            </w:r>
            <w:r>
              <w:rPr>
                <w:rFonts w:ascii="Times New Roman" w:cs="Times New Roman" w:eastAsia="Times New Roman" w:hAnsi="Times New Roman"/>
                <w:sz w:val="18"/>
                <w:szCs w:val="18"/>
                <w:color w:val="000000"/>
                <w:w w:val="98"/>
              </w:rPr>
              <w:t>%</w:t>
            </w:r>
          </w:p>
        </w:tc>
        <w:tc>
          <w:tcPr>
            <w:tcW w:w="320" w:type="dxa"/>
            <w:vAlign w:val="bottom"/>
          </w:tcPr>
          <w:p>
            <w:pPr>
              <w:spacing w:after="0"/>
              <w:rPr>
                <w:sz w:val="14"/>
                <w:szCs w:val="14"/>
                <w:color w:val="auto"/>
              </w:rPr>
            </w:pPr>
          </w:p>
        </w:tc>
        <w:tc>
          <w:tcPr>
            <w:tcW w:w="3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w w:val="95"/>
              </w:rPr>
              <w:t>2.00</w:t>
            </w:r>
          </w:p>
        </w:tc>
        <w:tc>
          <w:tcPr>
            <w:tcW w:w="820" w:type="dxa"/>
            <w:vAlign w:val="bottom"/>
            <w:tcBorders>
              <w:right w:val="single" w:sz="8" w:color="010101"/>
            </w:tcBorders>
            <w:gridSpan w:val="2"/>
          </w:tcPr>
          <w:p>
            <w:pPr>
              <w:jc w:val="right"/>
              <w:ind w:right="360"/>
              <w:spacing w:after="0" w:line="169" w:lineRule="exact"/>
              <w:rPr>
                <w:sz w:val="20"/>
                <w:szCs w:val="20"/>
                <w:color w:val="auto"/>
              </w:rPr>
            </w:pPr>
            <w:r>
              <w:rPr>
                <w:rFonts w:ascii="Times New Roman" w:cs="Times New Roman" w:eastAsia="Times New Roman" w:hAnsi="Times New Roman"/>
                <w:sz w:val="18"/>
                <w:szCs w:val="18"/>
                <w:color w:val="0000FF"/>
                <w:w w:val="94"/>
              </w:rPr>
              <w:t>3.00</w:t>
            </w:r>
            <w:r>
              <w:rPr>
                <w:rFonts w:ascii="Times New Roman" w:cs="Times New Roman" w:eastAsia="Times New Roman" w:hAnsi="Times New Roman"/>
                <w:sz w:val="18"/>
                <w:szCs w:val="18"/>
                <w:color w:val="000000"/>
                <w:w w:val="94"/>
              </w:rPr>
              <w:t>%</w:t>
            </w:r>
          </w:p>
        </w:tc>
        <w:tc>
          <w:tcPr>
            <w:tcW w:w="2340" w:type="dxa"/>
            <w:vAlign w:val="bottom"/>
            <w:tcBorders>
              <w:right w:val="single" w:sz="8" w:color="010101"/>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0"/>
        </w:trPr>
        <w:tc>
          <w:tcPr>
            <w:tcW w:w="320" w:type="dxa"/>
            <w:vAlign w:val="bottom"/>
            <w:tcBorders>
              <w:left w:val="single" w:sz="8" w:color="010101"/>
              <w:bottom w:val="single" w:sz="8" w:color="010101"/>
            </w:tcBorders>
          </w:tcPr>
          <w:p>
            <w:pPr>
              <w:spacing w:after="0" w:line="20" w:lineRule="exact"/>
              <w:rPr>
                <w:sz w:val="1"/>
                <w:szCs w:val="1"/>
                <w:color w:val="auto"/>
              </w:rPr>
            </w:pPr>
          </w:p>
        </w:tc>
        <w:tc>
          <w:tcPr>
            <w:tcW w:w="400" w:type="dxa"/>
            <w:vAlign w:val="bottom"/>
            <w:tcBorders>
              <w:bottom w:val="single" w:sz="8" w:color="010101"/>
            </w:tcBorders>
          </w:tcPr>
          <w:p>
            <w:pPr>
              <w:spacing w:after="0" w:line="20" w:lineRule="exact"/>
              <w:rPr>
                <w:sz w:val="1"/>
                <w:szCs w:val="1"/>
                <w:color w:val="auto"/>
              </w:rPr>
            </w:pPr>
          </w:p>
        </w:tc>
        <w:tc>
          <w:tcPr>
            <w:tcW w:w="320" w:type="dxa"/>
            <w:vAlign w:val="bottom"/>
            <w:tcBorders>
              <w:bottom w:val="single" w:sz="8" w:color="010101"/>
              <w:right w:val="single" w:sz="8" w:color="010101"/>
            </w:tcBorders>
          </w:tcPr>
          <w:p>
            <w:pPr>
              <w:spacing w:after="0" w:line="20" w:lineRule="exact"/>
              <w:rPr>
                <w:sz w:val="1"/>
                <w:szCs w:val="1"/>
                <w:color w:val="auto"/>
              </w:rPr>
            </w:pPr>
          </w:p>
        </w:tc>
        <w:tc>
          <w:tcPr>
            <w:tcW w:w="580" w:type="dxa"/>
            <w:vAlign w:val="bottom"/>
            <w:tcBorders>
              <w:bottom w:val="single" w:sz="8" w:color="010101"/>
            </w:tcBorders>
          </w:tcPr>
          <w:p>
            <w:pPr>
              <w:spacing w:after="0" w:line="20" w:lineRule="exact"/>
              <w:rPr>
                <w:sz w:val="1"/>
                <w:szCs w:val="1"/>
                <w:color w:val="auto"/>
              </w:rPr>
            </w:pPr>
          </w:p>
        </w:tc>
        <w:tc>
          <w:tcPr>
            <w:tcW w:w="720" w:type="dxa"/>
            <w:vAlign w:val="bottom"/>
            <w:tcBorders>
              <w:bottom w:val="single" w:sz="8" w:color="010101"/>
            </w:tcBorders>
          </w:tcPr>
          <w:p>
            <w:pPr>
              <w:spacing w:after="0" w:line="20" w:lineRule="exact"/>
              <w:rPr>
                <w:sz w:val="1"/>
                <w:szCs w:val="1"/>
                <w:color w:val="auto"/>
              </w:rPr>
            </w:pPr>
          </w:p>
        </w:tc>
        <w:tc>
          <w:tcPr>
            <w:tcW w:w="620" w:type="dxa"/>
            <w:vAlign w:val="bottom"/>
            <w:tcBorders>
              <w:bottom w:val="single" w:sz="8" w:color="010101"/>
              <w:right w:val="single" w:sz="8" w:color="010101"/>
            </w:tcBorders>
          </w:tcPr>
          <w:p>
            <w:pPr>
              <w:spacing w:after="0" w:line="20" w:lineRule="exact"/>
              <w:rPr>
                <w:sz w:val="1"/>
                <w:szCs w:val="1"/>
                <w:color w:val="auto"/>
              </w:rPr>
            </w:pPr>
          </w:p>
        </w:tc>
        <w:tc>
          <w:tcPr>
            <w:tcW w:w="480" w:type="dxa"/>
            <w:vAlign w:val="bottom"/>
            <w:tcBorders>
              <w:bottom w:val="single" w:sz="8" w:color="010101"/>
            </w:tcBorders>
          </w:tcPr>
          <w:p>
            <w:pPr>
              <w:spacing w:after="0" w:line="20" w:lineRule="exact"/>
              <w:rPr>
                <w:sz w:val="1"/>
                <w:szCs w:val="1"/>
                <w:color w:val="auto"/>
              </w:rPr>
            </w:pPr>
          </w:p>
        </w:tc>
        <w:tc>
          <w:tcPr>
            <w:tcW w:w="160" w:type="dxa"/>
            <w:vAlign w:val="bottom"/>
            <w:tcBorders>
              <w:bottom w:val="single" w:sz="8" w:color="010101"/>
            </w:tcBorders>
          </w:tcPr>
          <w:p>
            <w:pPr>
              <w:spacing w:after="0" w:line="20" w:lineRule="exact"/>
              <w:rPr>
                <w:sz w:val="1"/>
                <w:szCs w:val="1"/>
                <w:color w:val="auto"/>
              </w:rPr>
            </w:pPr>
          </w:p>
        </w:tc>
        <w:tc>
          <w:tcPr>
            <w:tcW w:w="320" w:type="dxa"/>
            <w:vAlign w:val="bottom"/>
            <w:tcBorders>
              <w:top w:val="single" w:sz="8" w:color="0000FF"/>
              <w:bottom w:val="single" w:sz="8" w:color="010101"/>
            </w:tcBorders>
          </w:tcPr>
          <w:p>
            <w:pPr>
              <w:spacing w:after="0" w:line="20" w:lineRule="exact"/>
              <w:rPr>
                <w:sz w:val="1"/>
                <w:szCs w:val="1"/>
                <w:color w:val="auto"/>
              </w:rPr>
            </w:pPr>
          </w:p>
        </w:tc>
        <w:tc>
          <w:tcPr>
            <w:tcW w:w="500" w:type="dxa"/>
            <w:vAlign w:val="bottom"/>
            <w:tcBorders>
              <w:bottom w:val="single" w:sz="8" w:color="010101"/>
              <w:right w:val="single" w:sz="8" w:color="010101"/>
            </w:tcBorders>
          </w:tcPr>
          <w:p>
            <w:pPr>
              <w:spacing w:after="0" w:line="20" w:lineRule="exact"/>
              <w:rPr>
                <w:sz w:val="1"/>
                <w:szCs w:val="1"/>
                <w:color w:val="auto"/>
              </w:rPr>
            </w:pPr>
          </w:p>
        </w:tc>
        <w:tc>
          <w:tcPr>
            <w:tcW w:w="640" w:type="dxa"/>
            <w:vAlign w:val="bottom"/>
            <w:tcBorders>
              <w:bottom w:val="single" w:sz="8" w:color="010101"/>
            </w:tcBorders>
          </w:tcPr>
          <w:p>
            <w:pPr>
              <w:spacing w:after="0" w:line="20" w:lineRule="exact"/>
              <w:rPr>
                <w:sz w:val="1"/>
                <w:szCs w:val="1"/>
                <w:color w:val="auto"/>
              </w:rPr>
            </w:pPr>
          </w:p>
        </w:tc>
        <w:tc>
          <w:tcPr>
            <w:tcW w:w="320" w:type="dxa"/>
            <w:vAlign w:val="bottom"/>
            <w:tcBorders>
              <w:top w:val="single" w:sz="8" w:color="0000FF"/>
              <w:bottom w:val="single" w:sz="8" w:color="010101"/>
            </w:tcBorders>
          </w:tcPr>
          <w:p>
            <w:pPr>
              <w:spacing w:after="0" w:line="20" w:lineRule="exact"/>
              <w:rPr>
                <w:sz w:val="1"/>
                <w:szCs w:val="1"/>
                <w:color w:val="auto"/>
              </w:rPr>
            </w:pPr>
          </w:p>
        </w:tc>
        <w:tc>
          <w:tcPr>
            <w:tcW w:w="160" w:type="dxa"/>
            <w:vAlign w:val="bottom"/>
            <w:tcBorders>
              <w:bottom w:val="single" w:sz="8" w:color="010101"/>
            </w:tcBorders>
          </w:tcPr>
          <w:p>
            <w:pPr>
              <w:spacing w:after="0" w:line="20" w:lineRule="exact"/>
              <w:rPr>
                <w:sz w:val="1"/>
                <w:szCs w:val="1"/>
                <w:color w:val="auto"/>
              </w:rPr>
            </w:pPr>
          </w:p>
        </w:tc>
        <w:tc>
          <w:tcPr>
            <w:tcW w:w="340" w:type="dxa"/>
            <w:vAlign w:val="bottom"/>
            <w:tcBorders>
              <w:bottom w:val="single" w:sz="8" w:color="010101"/>
              <w:right w:val="single" w:sz="8" w:color="010101"/>
            </w:tcBorders>
          </w:tcPr>
          <w:p>
            <w:pPr>
              <w:spacing w:after="0" w:line="20" w:lineRule="exact"/>
              <w:rPr>
                <w:sz w:val="1"/>
                <w:szCs w:val="1"/>
                <w:color w:val="auto"/>
              </w:rPr>
            </w:pPr>
          </w:p>
        </w:tc>
        <w:tc>
          <w:tcPr>
            <w:tcW w:w="540" w:type="dxa"/>
            <w:vAlign w:val="bottom"/>
            <w:tcBorders>
              <w:bottom w:val="single" w:sz="8" w:color="010101"/>
            </w:tcBorders>
          </w:tcPr>
          <w:p>
            <w:pPr>
              <w:spacing w:after="0" w:line="20" w:lineRule="exact"/>
              <w:rPr>
                <w:sz w:val="1"/>
                <w:szCs w:val="1"/>
                <w:color w:val="auto"/>
              </w:rPr>
            </w:pPr>
          </w:p>
        </w:tc>
        <w:tc>
          <w:tcPr>
            <w:tcW w:w="140" w:type="dxa"/>
            <w:vAlign w:val="bottom"/>
            <w:tcBorders>
              <w:bottom w:val="single" w:sz="8" w:color="010101"/>
            </w:tcBorders>
          </w:tcPr>
          <w:p>
            <w:pPr>
              <w:spacing w:after="0" w:line="20" w:lineRule="exact"/>
              <w:rPr>
                <w:sz w:val="1"/>
                <w:szCs w:val="1"/>
                <w:color w:val="auto"/>
              </w:rPr>
            </w:pPr>
          </w:p>
        </w:tc>
        <w:tc>
          <w:tcPr>
            <w:tcW w:w="320" w:type="dxa"/>
            <w:vAlign w:val="bottom"/>
            <w:tcBorders>
              <w:top w:val="single" w:sz="8" w:color="0000FF"/>
              <w:bottom w:val="single" w:sz="8" w:color="010101"/>
            </w:tcBorders>
          </w:tcPr>
          <w:p>
            <w:pPr>
              <w:spacing w:after="0" w:line="20" w:lineRule="exact"/>
              <w:rPr>
                <w:sz w:val="1"/>
                <w:szCs w:val="1"/>
                <w:color w:val="auto"/>
              </w:rPr>
            </w:pPr>
          </w:p>
        </w:tc>
        <w:tc>
          <w:tcPr>
            <w:tcW w:w="560" w:type="dxa"/>
            <w:vAlign w:val="bottom"/>
            <w:tcBorders>
              <w:bottom w:val="single" w:sz="8" w:color="010101"/>
              <w:right w:val="single" w:sz="8" w:color="010101"/>
            </w:tcBorders>
          </w:tcPr>
          <w:p>
            <w:pPr>
              <w:spacing w:after="0" w:line="20" w:lineRule="exact"/>
              <w:rPr>
                <w:sz w:val="1"/>
                <w:szCs w:val="1"/>
                <w:color w:val="auto"/>
              </w:rPr>
            </w:pPr>
          </w:p>
        </w:tc>
        <w:tc>
          <w:tcPr>
            <w:tcW w:w="320" w:type="dxa"/>
            <w:vAlign w:val="bottom"/>
            <w:tcBorders>
              <w:bottom w:val="single" w:sz="8" w:color="010101"/>
            </w:tcBorders>
          </w:tcPr>
          <w:p>
            <w:pPr>
              <w:spacing w:after="0" w:line="20" w:lineRule="exact"/>
              <w:rPr>
                <w:sz w:val="1"/>
                <w:szCs w:val="1"/>
                <w:color w:val="auto"/>
              </w:rPr>
            </w:pPr>
          </w:p>
        </w:tc>
        <w:tc>
          <w:tcPr>
            <w:tcW w:w="160" w:type="dxa"/>
            <w:vAlign w:val="bottom"/>
            <w:tcBorders>
              <w:bottom w:val="single" w:sz="8" w:color="010101"/>
            </w:tcBorders>
          </w:tcPr>
          <w:p>
            <w:pPr>
              <w:spacing w:after="0" w:line="20" w:lineRule="exact"/>
              <w:rPr>
                <w:sz w:val="1"/>
                <w:szCs w:val="1"/>
                <w:color w:val="auto"/>
              </w:rPr>
            </w:pPr>
          </w:p>
        </w:tc>
        <w:tc>
          <w:tcPr>
            <w:tcW w:w="160" w:type="dxa"/>
            <w:vAlign w:val="bottom"/>
            <w:tcBorders>
              <w:bottom w:val="single" w:sz="8" w:color="010101"/>
            </w:tcBorders>
          </w:tcPr>
          <w:p>
            <w:pPr>
              <w:spacing w:after="0" w:line="20" w:lineRule="exact"/>
              <w:rPr>
                <w:sz w:val="1"/>
                <w:szCs w:val="1"/>
                <w:color w:val="auto"/>
              </w:rPr>
            </w:pPr>
          </w:p>
        </w:tc>
        <w:tc>
          <w:tcPr>
            <w:tcW w:w="320" w:type="dxa"/>
            <w:vAlign w:val="bottom"/>
            <w:tcBorders>
              <w:top w:val="single" w:sz="8" w:color="0000FF"/>
              <w:bottom w:val="single" w:sz="8" w:color="010101"/>
            </w:tcBorders>
          </w:tcPr>
          <w:p>
            <w:pPr>
              <w:spacing w:after="0" w:line="20" w:lineRule="exact"/>
              <w:rPr>
                <w:sz w:val="1"/>
                <w:szCs w:val="1"/>
                <w:color w:val="auto"/>
              </w:rPr>
            </w:pPr>
          </w:p>
        </w:tc>
        <w:tc>
          <w:tcPr>
            <w:tcW w:w="500" w:type="dxa"/>
            <w:vAlign w:val="bottom"/>
            <w:tcBorders>
              <w:bottom w:val="single" w:sz="8" w:color="010101"/>
              <w:right w:val="single" w:sz="8" w:color="010101"/>
            </w:tcBorders>
          </w:tcPr>
          <w:p>
            <w:pPr>
              <w:spacing w:after="0" w:line="20" w:lineRule="exact"/>
              <w:rPr>
                <w:sz w:val="1"/>
                <w:szCs w:val="1"/>
                <w:color w:val="auto"/>
              </w:rPr>
            </w:pPr>
          </w:p>
        </w:tc>
        <w:tc>
          <w:tcPr>
            <w:tcW w:w="234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 w:type="dxa"/>
            <w:vAlign w:val="bottom"/>
            <w:tcBorders>
              <w:left w:val="single" w:sz="8" w:color="010101"/>
            </w:tcBorders>
          </w:tcPr>
          <w:p>
            <w:pPr>
              <w:spacing w:after="0"/>
              <w:rPr>
                <w:sz w:val="16"/>
                <w:szCs w:val="16"/>
                <w:color w:val="auto"/>
              </w:rPr>
            </w:pPr>
          </w:p>
        </w:tc>
        <w:tc>
          <w:tcPr>
            <w:tcW w:w="4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FF0000"/>
                <w:strike w:val="1"/>
                <w:w w:val="88"/>
              </w:rPr>
              <w:t>2</w:t>
            </w:r>
          </w:p>
        </w:tc>
        <w:tc>
          <w:tcPr>
            <w:tcW w:w="320" w:type="dxa"/>
            <w:vAlign w:val="bottom"/>
            <w:tcBorders>
              <w:right w:val="single" w:sz="8" w:color="010101"/>
            </w:tcBorders>
          </w:tcPr>
          <w:p>
            <w:pPr>
              <w:spacing w:after="0"/>
              <w:rPr>
                <w:sz w:val="16"/>
                <w:szCs w:val="16"/>
                <w:color w:val="auto"/>
              </w:rPr>
            </w:pPr>
          </w:p>
        </w:tc>
        <w:tc>
          <w:tcPr>
            <w:tcW w:w="1920" w:type="dxa"/>
            <w:vAlign w:val="bottom"/>
            <w:tcBorders>
              <w:right w:val="single" w:sz="8" w:color="010101"/>
            </w:tcBorders>
            <w:gridSpan w:val="3"/>
          </w:tcPr>
          <w:p>
            <w:pPr>
              <w:jc w:val="center"/>
              <w:ind w:right="20"/>
              <w:spacing w:after="0" w:line="192" w:lineRule="exact"/>
              <w:rPr>
                <w:sz w:val="20"/>
                <w:szCs w:val="20"/>
                <w:color w:val="auto"/>
              </w:rPr>
            </w:pPr>
            <w:r>
              <w:rPr>
                <w:rFonts w:ascii="Times New Roman" w:cs="Times New Roman" w:eastAsia="Times New Roman" w:hAnsi="Times New Roman"/>
                <w:sz w:val="18"/>
                <w:szCs w:val="18"/>
                <w:color w:val="FF0000"/>
                <w:strike w:val="1"/>
                <w:w w:val="99"/>
              </w:rPr>
              <w:t>&lt;3.50:1.00,</w:t>
            </w:r>
          </w:p>
        </w:tc>
        <w:tc>
          <w:tcPr>
            <w:tcW w:w="480" w:type="dxa"/>
            <w:vAlign w:val="bottom"/>
          </w:tcPr>
          <w:p>
            <w:pPr>
              <w:spacing w:after="0"/>
              <w:rPr>
                <w:sz w:val="16"/>
                <w:szCs w:val="16"/>
                <w:color w:val="auto"/>
              </w:rPr>
            </w:pPr>
          </w:p>
        </w:tc>
        <w:tc>
          <w:tcPr>
            <w:tcW w:w="48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8"/>
                <w:szCs w:val="18"/>
                <w:color w:val="FF0000"/>
                <w:strike w:val="1"/>
                <w:w w:val="98"/>
              </w:rPr>
              <w:t>2.50%</w:t>
            </w:r>
          </w:p>
        </w:tc>
        <w:tc>
          <w:tcPr>
            <w:tcW w:w="500" w:type="dxa"/>
            <w:vAlign w:val="bottom"/>
            <w:tcBorders>
              <w:right w:val="single" w:sz="8" w:color="010101"/>
            </w:tcBorders>
          </w:tcPr>
          <w:p>
            <w:pPr>
              <w:spacing w:after="0"/>
              <w:rPr>
                <w:sz w:val="16"/>
                <w:szCs w:val="16"/>
                <w:color w:val="auto"/>
              </w:rPr>
            </w:pPr>
          </w:p>
        </w:tc>
        <w:tc>
          <w:tcPr>
            <w:tcW w:w="960" w:type="dxa"/>
            <w:vAlign w:val="bottom"/>
            <w:gridSpan w:val="2"/>
          </w:tcPr>
          <w:p>
            <w:pPr>
              <w:jc w:val="center"/>
              <w:ind w:left="370"/>
              <w:spacing w:after="0" w:line="192" w:lineRule="exact"/>
              <w:rPr>
                <w:sz w:val="20"/>
                <w:szCs w:val="20"/>
                <w:color w:val="auto"/>
              </w:rPr>
            </w:pPr>
            <w:r>
              <w:rPr>
                <w:rFonts w:ascii="Times New Roman" w:cs="Times New Roman" w:eastAsia="Times New Roman" w:hAnsi="Times New Roman"/>
                <w:sz w:val="18"/>
                <w:szCs w:val="18"/>
                <w:color w:val="FF0000"/>
                <w:strike w:val="1"/>
                <w:w w:val="98"/>
              </w:rPr>
              <w:t>2.50%</w:t>
            </w:r>
          </w:p>
        </w:tc>
        <w:tc>
          <w:tcPr>
            <w:tcW w:w="160" w:type="dxa"/>
            <w:vAlign w:val="bottom"/>
          </w:tcPr>
          <w:p>
            <w:pPr>
              <w:spacing w:after="0"/>
              <w:rPr>
                <w:sz w:val="16"/>
                <w:szCs w:val="16"/>
                <w:color w:val="auto"/>
              </w:rPr>
            </w:pPr>
          </w:p>
        </w:tc>
        <w:tc>
          <w:tcPr>
            <w:tcW w:w="340" w:type="dxa"/>
            <w:vAlign w:val="bottom"/>
            <w:tcBorders>
              <w:right w:val="single" w:sz="8" w:color="010101"/>
            </w:tcBorders>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8"/>
                <w:szCs w:val="18"/>
                <w:color w:val="FF0000"/>
                <w:strike w:val="1"/>
                <w:w w:val="98"/>
              </w:rPr>
              <w:t>1.50%</w:t>
            </w:r>
          </w:p>
        </w:tc>
        <w:tc>
          <w:tcPr>
            <w:tcW w:w="560" w:type="dxa"/>
            <w:vAlign w:val="bottom"/>
            <w:tcBorders>
              <w:right w:val="single" w:sz="8" w:color="010101"/>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8"/>
                <w:szCs w:val="18"/>
                <w:color w:val="FF0000"/>
                <w:strike w:val="1"/>
                <w:w w:val="98"/>
              </w:rPr>
              <w:t>1.50%</w:t>
            </w:r>
          </w:p>
        </w:tc>
        <w:tc>
          <w:tcPr>
            <w:tcW w:w="500" w:type="dxa"/>
            <w:vAlign w:val="bottom"/>
            <w:tcBorders>
              <w:right w:val="single" w:sz="8" w:color="010101"/>
            </w:tcBorders>
          </w:tcPr>
          <w:p>
            <w:pPr>
              <w:spacing w:after="0"/>
              <w:rPr>
                <w:sz w:val="16"/>
                <w:szCs w:val="16"/>
                <w:color w:val="auto"/>
              </w:rPr>
            </w:pPr>
          </w:p>
        </w:tc>
        <w:tc>
          <w:tcPr>
            <w:tcW w:w="2340" w:type="dxa"/>
            <w:vAlign w:val="bottom"/>
            <w:tcBorders>
              <w:right w:val="single" w:sz="8" w:color="010101"/>
            </w:tcBorders>
          </w:tcPr>
          <w:p>
            <w:pPr>
              <w:jc w:val="center"/>
              <w:spacing w:after="0" w:line="192" w:lineRule="exact"/>
              <w:rPr>
                <w:sz w:val="20"/>
                <w:szCs w:val="20"/>
                <w:color w:val="auto"/>
              </w:rPr>
            </w:pPr>
            <w:r>
              <w:rPr>
                <w:rFonts w:ascii="Times New Roman" w:cs="Times New Roman" w:eastAsia="Times New Roman" w:hAnsi="Times New Roman"/>
                <w:sz w:val="18"/>
                <w:szCs w:val="18"/>
                <w:color w:val="FF0000"/>
                <w:strike w:val="1"/>
              </w:rPr>
              <w:t>0.35%</w:t>
            </w:r>
          </w:p>
        </w:tc>
        <w:tc>
          <w:tcPr>
            <w:tcW w:w="0" w:type="dxa"/>
            <w:vAlign w:val="bottom"/>
          </w:tcPr>
          <w:p>
            <w:pPr>
              <w:spacing w:after="0"/>
              <w:rPr>
                <w:sz w:val="1"/>
                <w:szCs w:val="1"/>
                <w:color w:val="auto"/>
              </w:rPr>
            </w:pPr>
          </w:p>
        </w:tc>
      </w:tr>
      <w:tr>
        <w:trPr>
          <w:trHeight w:val="216"/>
        </w:trPr>
        <w:tc>
          <w:tcPr>
            <w:tcW w:w="320" w:type="dxa"/>
            <w:vAlign w:val="bottom"/>
            <w:tcBorders>
              <w:left w:val="single" w:sz="8" w:color="010101"/>
            </w:tcBorders>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right w:val="single" w:sz="8" w:color="010101"/>
            </w:tcBorders>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w w:val="95"/>
              </w:rPr>
              <w:t>but</w:t>
            </w:r>
          </w:p>
        </w:tc>
        <w:tc>
          <w:tcPr>
            <w:tcW w:w="620" w:type="dxa"/>
            <w:vAlign w:val="bottom"/>
            <w:tcBorders>
              <w:right w:val="single" w:sz="8" w:color="010101"/>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right w:val="single" w:sz="8" w:color="010101"/>
            </w:tcBorders>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right w:val="single" w:sz="8" w:color="010101"/>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right w:val="single" w:sz="8" w:color="010101"/>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right w:val="single" w:sz="8" w:color="010101"/>
            </w:tcBorders>
          </w:tcPr>
          <w:p>
            <w:pPr>
              <w:spacing w:after="0"/>
              <w:rPr>
                <w:sz w:val="18"/>
                <w:szCs w:val="18"/>
                <w:color w:val="auto"/>
              </w:rPr>
            </w:pPr>
          </w:p>
        </w:tc>
        <w:tc>
          <w:tcPr>
            <w:tcW w:w="234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010101"/>
              <w:bottom w:val="single" w:sz="8" w:color="010101"/>
            </w:tcBorders>
          </w:tcPr>
          <w:p>
            <w:pPr>
              <w:spacing w:after="0"/>
              <w:rPr>
                <w:sz w:val="20"/>
                <w:szCs w:val="20"/>
                <w:color w:val="auto"/>
              </w:rPr>
            </w:pPr>
          </w:p>
        </w:tc>
        <w:tc>
          <w:tcPr>
            <w:tcW w:w="40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right w:val="single" w:sz="8" w:color="010101"/>
            </w:tcBorders>
          </w:tcPr>
          <w:p>
            <w:pPr>
              <w:spacing w:after="0"/>
              <w:rPr>
                <w:sz w:val="20"/>
                <w:szCs w:val="20"/>
                <w:color w:val="auto"/>
              </w:rPr>
            </w:pPr>
          </w:p>
        </w:tc>
        <w:tc>
          <w:tcPr>
            <w:tcW w:w="1920" w:type="dxa"/>
            <w:vAlign w:val="bottom"/>
            <w:tcBorders>
              <w:bottom w:val="single" w:sz="8" w:color="010101"/>
              <w:right w:val="single" w:sz="8" w:color="010101"/>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FF0000"/>
                <w:strike w:val="1"/>
                <w:w w:val="99"/>
              </w:rPr>
              <w:t>&gt;3.00:1.00</w:t>
            </w:r>
          </w:p>
        </w:tc>
        <w:tc>
          <w:tcPr>
            <w:tcW w:w="480" w:type="dxa"/>
            <w:vAlign w:val="bottom"/>
            <w:tcBorders>
              <w:bottom w:val="single" w:sz="8" w:color="010101"/>
            </w:tcBorders>
          </w:tcPr>
          <w:p>
            <w:pPr>
              <w:spacing w:after="0"/>
              <w:rPr>
                <w:sz w:val="20"/>
                <w:szCs w:val="20"/>
                <w:color w:val="auto"/>
              </w:rPr>
            </w:pPr>
          </w:p>
        </w:tc>
        <w:tc>
          <w:tcPr>
            <w:tcW w:w="16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500" w:type="dxa"/>
            <w:vAlign w:val="bottom"/>
            <w:tcBorders>
              <w:bottom w:val="single" w:sz="8" w:color="010101"/>
              <w:right w:val="single" w:sz="8" w:color="010101"/>
            </w:tcBorders>
          </w:tcPr>
          <w:p>
            <w:pPr>
              <w:spacing w:after="0"/>
              <w:rPr>
                <w:sz w:val="20"/>
                <w:szCs w:val="20"/>
                <w:color w:val="auto"/>
              </w:rPr>
            </w:pPr>
          </w:p>
        </w:tc>
        <w:tc>
          <w:tcPr>
            <w:tcW w:w="64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160" w:type="dxa"/>
            <w:vAlign w:val="bottom"/>
            <w:tcBorders>
              <w:bottom w:val="single" w:sz="8" w:color="010101"/>
            </w:tcBorders>
          </w:tcPr>
          <w:p>
            <w:pPr>
              <w:spacing w:after="0"/>
              <w:rPr>
                <w:sz w:val="20"/>
                <w:szCs w:val="20"/>
                <w:color w:val="auto"/>
              </w:rPr>
            </w:pPr>
          </w:p>
        </w:tc>
        <w:tc>
          <w:tcPr>
            <w:tcW w:w="340" w:type="dxa"/>
            <w:vAlign w:val="bottom"/>
            <w:tcBorders>
              <w:bottom w:val="single" w:sz="8" w:color="010101"/>
              <w:right w:val="single" w:sz="8" w:color="010101"/>
            </w:tcBorders>
          </w:tcPr>
          <w:p>
            <w:pPr>
              <w:spacing w:after="0"/>
              <w:rPr>
                <w:sz w:val="20"/>
                <w:szCs w:val="20"/>
                <w:color w:val="auto"/>
              </w:rPr>
            </w:pPr>
          </w:p>
        </w:tc>
        <w:tc>
          <w:tcPr>
            <w:tcW w:w="540" w:type="dxa"/>
            <w:vAlign w:val="bottom"/>
            <w:tcBorders>
              <w:bottom w:val="single" w:sz="8" w:color="010101"/>
            </w:tcBorders>
          </w:tcPr>
          <w:p>
            <w:pPr>
              <w:spacing w:after="0"/>
              <w:rPr>
                <w:sz w:val="20"/>
                <w:szCs w:val="20"/>
                <w:color w:val="auto"/>
              </w:rPr>
            </w:pPr>
          </w:p>
        </w:tc>
        <w:tc>
          <w:tcPr>
            <w:tcW w:w="14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560" w:type="dxa"/>
            <w:vAlign w:val="bottom"/>
            <w:tcBorders>
              <w:bottom w:val="single" w:sz="8" w:color="010101"/>
              <w:right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160" w:type="dxa"/>
            <w:vAlign w:val="bottom"/>
            <w:tcBorders>
              <w:bottom w:val="single" w:sz="8" w:color="010101"/>
            </w:tcBorders>
          </w:tcPr>
          <w:p>
            <w:pPr>
              <w:spacing w:after="0"/>
              <w:rPr>
                <w:sz w:val="20"/>
                <w:szCs w:val="20"/>
                <w:color w:val="auto"/>
              </w:rPr>
            </w:pPr>
          </w:p>
        </w:tc>
        <w:tc>
          <w:tcPr>
            <w:tcW w:w="16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500" w:type="dxa"/>
            <w:vAlign w:val="bottom"/>
            <w:tcBorders>
              <w:bottom w:val="single" w:sz="8" w:color="010101"/>
              <w:right w:val="single" w:sz="8" w:color="010101"/>
            </w:tcBorders>
          </w:tcPr>
          <w:p>
            <w:pPr>
              <w:spacing w:after="0"/>
              <w:rPr>
                <w:sz w:val="20"/>
                <w:szCs w:val="20"/>
                <w:color w:val="auto"/>
              </w:rPr>
            </w:pPr>
          </w:p>
        </w:tc>
        <w:tc>
          <w:tcPr>
            <w:tcW w:w="2340" w:type="dxa"/>
            <w:vAlign w:val="bottom"/>
            <w:tcBorders>
              <w:bottom w:val="single" w:sz="8" w:color="010101"/>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0" w:type="dxa"/>
            <w:vAlign w:val="bottom"/>
            <w:tcBorders>
              <w:left w:val="single" w:sz="8" w:color="010101"/>
            </w:tcBorders>
          </w:tcPr>
          <w:p>
            <w:pPr>
              <w:spacing w:after="0"/>
              <w:rPr>
                <w:sz w:val="16"/>
                <w:szCs w:val="16"/>
                <w:color w:val="auto"/>
              </w:rPr>
            </w:pPr>
          </w:p>
        </w:tc>
        <w:tc>
          <w:tcPr>
            <w:tcW w:w="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FF0000"/>
                <w:strike w:val="1"/>
                <w:w w:val="88"/>
              </w:rPr>
              <w:t>3</w:t>
            </w:r>
          </w:p>
        </w:tc>
        <w:tc>
          <w:tcPr>
            <w:tcW w:w="320" w:type="dxa"/>
            <w:vAlign w:val="bottom"/>
            <w:tcBorders>
              <w:right w:val="single" w:sz="8" w:color="010101"/>
            </w:tcBorders>
          </w:tcPr>
          <w:p>
            <w:pPr>
              <w:spacing w:after="0"/>
              <w:rPr>
                <w:sz w:val="16"/>
                <w:szCs w:val="16"/>
                <w:color w:val="auto"/>
              </w:rPr>
            </w:pPr>
          </w:p>
        </w:tc>
        <w:tc>
          <w:tcPr>
            <w:tcW w:w="1920" w:type="dxa"/>
            <w:vAlign w:val="bottom"/>
            <w:tcBorders>
              <w:right w:val="single" w:sz="8" w:color="010101"/>
            </w:tcBorders>
            <w:gridSpan w:val="3"/>
          </w:tcPr>
          <w:p>
            <w:pPr>
              <w:jc w:val="center"/>
              <w:ind w:right="20"/>
              <w:spacing w:after="0" w:line="191" w:lineRule="exact"/>
              <w:rPr>
                <w:sz w:val="20"/>
                <w:szCs w:val="20"/>
                <w:color w:val="auto"/>
              </w:rPr>
            </w:pPr>
            <w:r>
              <w:rPr>
                <w:rFonts w:ascii="Times New Roman" w:cs="Times New Roman" w:eastAsia="Times New Roman" w:hAnsi="Times New Roman"/>
                <w:sz w:val="18"/>
                <w:szCs w:val="18"/>
                <w:color w:val="FF0000"/>
                <w:strike w:val="1"/>
                <w:w w:val="99"/>
              </w:rPr>
              <w:t>&lt;3.00:1.00,</w:t>
            </w:r>
          </w:p>
        </w:tc>
        <w:tc>
          <w:tcPr>
            <w:tcW w:w="480" w:type="dxa"/>
            <w:vAlign w:val="bottom"/>
          </w:tcPr>
          <w:p>
            <w:pPr>
              <w:spacing w:after="0"/>
              <w:rPr>
                <w:sz w:val="16"/>
                <w:szCs w:val="16"/>
                <w:color w:val="auto"/>
              </w:rPr>
            </w:pPr>
          </w:p>
        </w:tc>
        <w:tc>
          <w:tcPr>
            <w:tcW w:w="48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FF0000"/>
                <w:strike w:val="1"/>
                <w:w w:val="98"/>
              </w:rPr>
              <w:t>2.25%</w:t>
            </w:r>
          </w:p>
        </w:tc>
        <w:tc>
          <w:tcPr>
            <w:tcW w:w="500" w:type="dxa"/>
            <w:vAlign w:val="bottom"/>
            <w:tcBorders>
              <w:right w:val="single" w:sz="8" w:color="010101"/>
            </w:tcBorders>
          </w:tcPr>
          <w:p>
            <w:pPr>
              <w:spacing w:after="0"/>
              <w:rPr>
                <w:sz w:val="16"/>
                <w:szCs w:val="16"/>
                <w:color w:val="auto"/>
              </w:rPr>
            </w:pPr>
          </w:p>
        </w:tc>
        <w:tc>
          <w:tcPr>
            <w:tcW w:w="960" w:type="dxa"/>
            <w:vAlign w:val="bottom"/>
            <w:gridSpan w:val="2"/>
          </w:tcPr>
          <w:p>
            <w:pPr>
              <w:jc w:val="center"/>
              <w:ind w:left="370"/>
              <w:spacing w:after="0" w:line="191" w:lineRule="exact"/>
              <w:rPr>
                <w:sz w:val="20"/>
                <w:szCs w:val="20"/>
                <w:color w:val="auto"/>
              </w:rPr>
            </w:pPr>
            <w:r>
              <w:rPr>
                <w:rFonts w:ascii="Times New Roman" w:cs="Times New Roman" w:eastAsia="Times New Roman" w:hAnsi="Times New Roman"/>
                <w:sz w:val="18"/>
                <w:szCs w:val="18"/>
                <w:color w:val="FF0000"/>
                <w:strike w:val="1"/>
                <w:w w:val="98"/>
              </w:rPr>
              <w:t>2.25%</w:t>
            </w:r>
          </w:p>
        </w:tc>
        <w:tc>
          <w:tcPr>
            <w:tcW w:w="160" w:type="dxa"/>
            <w:vAlign w:val="bottom"/>
          </w:tcPr>
          <w:p>
            <w:pPr>
              <w:spacing w:after="0"/>
              <w:rPr>
                <w:sz w:val="16"/>
                <w:szCs w:val="16"/>
                <w:color w:val="auto"/>
              </w:rPr>
            </w:pPr>
          </w:p>
        </w:tc>
        <w:tc>
          <w:tcPr>
            <w:tcW w:w="340" w:type="dxa"/>
            <w:vAlign w:val="bottom"/>
            <w:tcBorders>
              <w:right w:val="single" w:sz="8" w:color="010101"/>
            </w:tcBorders>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FF0000"/>
                <w:strike w:val="1"/>
                <w:w w:val="98"/>
              </w:rPr>
              <w:t>1.25%</w:t>
            </w:r>
          </w:p>
        </w:tc>
        <w:tc>
          <w:tcPr>
            <w:tcW w:w="560" w:type="dxa"/>
            <w:vAlign w:val="bottom"/>
            <w:tcBorders>
              <w:right w:val="single" w:sz="8" w:color="010101"/>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FF0000"/>
                <w:strike w:val="1"/>
                <w:w w:val="98"/>
              </w:rPr>
              <w:t>1.25%</w:t>
            </w:r>
          </w:p>
        </w:tc>
        <w:tc>
          <w:tcPr>
            <w:tcW w:w="500" w:type="dxa"/>
            <w:vAlign w:val="bottom"/>
            <w:tcBorders>
              <w:right w:val="single" w:sz="8" w:color="010101"/>
            </w:tcBorders>
          </w:tcPr>
          <w:p>
            <w:pPr>
              <w:spacing w:after="0"/>
              <w:rPr>
                <w:sz w:val="16"/>
                <w:szCs w:val="16"/>
                <w:color w:val="auto"/>
              </w:rPr>
            </w:pPr>
          </w:p>
        </w:tc>
        <w:tc>
          <w:tcPr>
            <w:tcW w:w="2340" w:type="dxa"/>
            <w:vAlign w:val="bottom"/>
            <w:tcBorders>
              <w:right w:val="single" w:sz="8" w:color="010101"/>
            </w:tcBorders>
          </w:tcPr>
          <w:p>
            <w:pPr>
              <w:jc w:val="center"/>
              <w:spacing w:after="0" w:line="191" w:lineRule="exact"/>
              <w:rPr>
                <w:sz w:val="20"/>
                <w:szCs w:val="20"/>
                <w:color w:val="auto"/>
              </w:rPr>
            </w:pPr>
            <w:r>
              <w:rPr>
                <w:rFonts w:ascii="Times New Roman" w:cs="Times New Roman" w:eastAsia="Times New Roman" w:hAnsi="Times New Roman"/>
                <w:sz w:val="18"/>
                <w:szCs w:val="18"/>
                <w:color w:val="FF0000"/>
                <w:strike w:val="1"/>
              </w:rPr>
              <w:t>0.30%</w:t>
            </w:r>
          </w:p>
        </w:tc>
        <w:tc>
          <w:tcPr>
            <w:tcW w:w="0" w:type="dxa"/>
            <w:vAlign w:val="bottom"/>
          </w:tcPr>
          <w:p>
            <w:pPr>
              <w:spacing w:after="0"/>
              <w:rPr>
                <w:sz w:val="1"/>
                <w:szCs w:val="1"/>
                <w:color w:val="auto"/>
              </w:rPr>
            </w:pPr>
          </w:p>
        </w:tc>
      </w:tr>
      <w:tr>
        <w:trPr>
          <w:trHeight w:val="216"/>
        </w:trPr>
        <w:tc>
          <w:tcPr>
            <w:tcW w:w="320" w:type="dxa"/>
            <w:vAlign w:val="bottom"/>
            <w:tcBorders>
              <w:left w:val="single" w:sz="8" w:color="010101"/>
            </w:tcBorders>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right w:val="single" w:sz="8" w:color="010101"/>
            </w:tcBorders>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FF0000"/>
                <w:strike w:val="1"/>
                <w:w w:val="95"/>
              </w:rPr>
              <w:t>but</w:t>
            </w:r>
          </w:p>
        </w:tc>
        <w:tc>
          <w:tcPr>
            <w:tcW w:w="620" w:type="dxa"/>
            <w:vAlign w:val="bottom"/>
            <w:tcBorders>
              <w:right w:val="single" w:sz="8" w:color="010101"/>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right w:val="single" w:sz="8" w:color="010101"/>
            </w:tcBorders>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right w:val="single" w:sz="8" w:color="010101"/>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right w:val="single" w:sz="8" w:color="010101"/>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right w:val="single" w:sz="8" w:color="010101"/>
            </w:tcBorders>
          </w:tcPr>
          <w:p>
            <w:pPr>
              <w:spacing w:after="0"/>
              <w:rPr>
                <w:sz w:val="18"/>
                <w:szCs w:val="18"/>
                <w:color w:val="auto"/>
              </w:rPr>
            </w:pPr>
          </w:p>
        </w:tc>
        <w:tc>
          <w:tcPr>
            <w:tcW w:w="2340" w:type="dxa"/>
            <w:vAlign w:val="bottom"/>
            <w:tcBorders>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Borders>
              <w:left w:val="single" w:sz="8" w:color="010101"/>
              <w:bottom w:val="single" w:sz="8" w:color="010101"/>
            </w:tcBorders>
          </w:tcPr>
          <w:p>
            <w:pPr>
              <w:spacing w:after="0"/>
              <w:rPr>
                <w:sz w:val="20"/>
                <w:szCs w:val="20"/>
                <w:color w:val="auto"/>
              </w:rPr>
            </w:pPr>
          </w:p>
        </w:tc>
        <w:tc>
          <w:tcPr>
            <w:tcW w:w="40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right w:val="single" w:sz="8" w:color="010101"/>
            </w:tcBorders>
          </w:tcPr>
          <w:p>
            <w:pPr>
              <w:spacing w:after="0"/>
              <w:rPr>
                <w:sz w:val="20"/>
                <w:szCs w:val="20"/>
                <w:color w:val="auto"/>
              </w:rPr>
            </w:pPr>
          </w:p>
        </w:tc>
        <w:tc>
          <w:tcPr>
            <w:tcW w:w="1920" w:type="dxa"/>
            <w:vAlign w:val="bottom"/>
            <w:tcBorders>
              <w:bottom w:val="single" w:sz="8" w:color="010101"/>
              <w:right w:val="single" w:sz="8" w:color="010101"/>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FF0000"/>
                <w:strike w:val="1"/>
                <w:w w:val="99"/>
              </w:rPr>
              <w:t>&gt;2.25:1.00</w:t>
            </w:r>
          </w:p>
        </w:tc>
        <w:tc>
          <w:tcPr>
            <w:tcW w:w="480" w:type="dxa"/>
            <w:vAlign w:val="bottom"/>
            <w:tcBorders>
              <w:bottom w:val="single" w:sz="8" w:color="010101"/>
            </w:tcBorders>
          </w:tcPr>
          <w:p>
            <w:pPr>
              <w:spacing w:after="0"/>
              <w:rPr>
                <w:sz w:val="20"/>
                <w:szCs w:val="20"/>
                <w:color w:val="auto"/>
              </w:rPr>
            </w:pPr>
          </w:p>
        </w:tc>
        <w:tc>
          <w:tcPr>
            <w:tcW w:w="16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500" w:type="dxa"/>
            <w:vAlign w:val="bottom"/>
            <w:tcBorders>
              <w:bottom w:val="single" w:sz="8" w:color="010101"/>
              <w:right w:val="single" w:sz="8" w:color="010101"/>
            </w:tcBorders>
          </w:tcPr>
          <w:p>
            <w:pPr>
              <w:spacing w:after="0"/>
              <w:rPr>
                <w:sz w:val="20"/>
                <w:szCs w:val="20"/>
                <w:color w:val="auto"/>
              </w:rPr>
            </w:pPr>
          </w:p>
        </w:tc>
        <w:tc>
          <w:tcPr>
            <w:tcW w:w="64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160" w:type="dxa"/>
            <w:vAlign w:val="bottom"/>
            <w:tcBorders>
              <w:bottom w:val="single" w:sz="8" w:color="010101"/>
            </w:tcBorders>
          </w:tcPr>
          <w:p>
            <w:pPr>
              <w:spacing w:after="0"/>
              <w:rPr>
                <w:sz w:val="20"/>
                <w:szCs w:val="20"/>
                <w:color w:val="auto"/>
              </w:rPr>
            </w:pPr>
          </w:p>
        </w:tc>
        <w:tc>
          <w:tcPr>
            <w:tcW w:w="340" w:type="dxa"/>
            <w:vAlign w:val="bottom"/>
            <w:tcBorders>
              <w:bottom w:val="single" w:sz="8" w:color="010101"/>
              <w:right w:val="single" w:sz="8" w:color="010101"/>
            </w:tcBorders>
          </w:tcPr>
          <w:p>
            <w:pPr>
              <w:spacing w:after="0"/>
              <w:rPr>
                <w:sz w:val="20"/>
                <w:szCs w:val="20"/>
                <w:color w:val="auto"/>
              </w:rPr>
            </w:pPr>
          </w:p>
        </w:tc>
        <w:tc>
          <w:tcPr>
            <w:tcW w:w="540" w:type="dxa"/>
            <w:vAlign w:val="bottom"/>
            <w:tcBorders>
              <w:bottom w:val="single" w:sz="8" w:color="010101"/>
            </w:tcBorders>
          </w:tcPr>
          <w:p>
            <w:pPr>
              <w:spacing w:after="0"/>
              <w:rPr>
                <w:sz w:val="20"/>
                <w:szCs w:val="20"/>
                <w:color w:val="auto"/>
              </w:rPr>
            </w:pPr>
          </w:p>
        </w:tc>
        <w:tc>
          <w:tcPr>
            <w:tcW w:w="14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560" w:type="dxa"/>
            <w:vAlign w:val="bottom"/>
            <w:tcBorders>
              <w:bottom w:val="single" w:sz="8" w:color="010101"/>
              <w:right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160" w:type="dxa"/>
            <w:vAlign w:val="bottom"/>
            <w:tcBorders>
              <w:bottom w:val="single" w:sz="8" w:color="010101"/>
            </w:tcBorders>
          </w:tcPr>
          <w:p>
            <w:pPr>
              <w:spacing w:after="0"/>
              <w:rPr>
                <w:sz w:val="20"/>
                <w:szCs w:val="20"/>
                <w:color w:val="auto"/>
              </w:rPr>
            </w:pPr>
          </w:p>
        </w:tc>
        <w:tc>
          <w:tcPr>
            <w:tcW w:w="16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500" w:type="dxa"/>
            <w:vAlign w:val="bottom"/>
            <w:tcBorders>
              <w:bottom w:val="single" w:sz="8" w:color="010101"/>
              <w:right w:val="single" w:sz="8" w:color="010101"/>
            </w:tcBorders>
          </w:tcPr>
          <w:p>
            <w:pPr>
              <w:spacing w:after="0"/>
              <w:rPr>
                <w:sz w:val="20"/>
                <w:szCs w:val="20"/>
                <w:color w:val="auto"/>
              </w:rPr>
            </w:pPr>
          </w:p>
        </w:tc>
        <w:tc>
          <w:tcPr>
            <w:tcW w:w="2340" w:type="dxa"/>
            <w:vAlign w:val="bottom"/>
            <w:tcBorders>
              <w:bottom w:val="single" w:sz="8" w:color="010101"/>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0" w:type="dxa"/>
            <w:vAlign w:val="bottom"/>
            <w:tcBorders>
              <w:left w:val="single" w:sz="8" w:color="010101"/>
            </w:tcBorders>
          </w:tcPr>
          <w:p>
            <w:pPr>
              <w:spacing w:after="0"/>
              <w:rPr>
                <w:sz w:val="16"/>
                <w:szCs w:val="16"/>
                <w:color w:val="auto"/>
              </w:rPr>
            </w:pPr>
          </w:p>
        </w:tc>
        <w:tc>
          <w:tcPr>
            <w:tcW w:w="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FF0000"/>
                <w:strike w:val="1"/>
                <w:w w:val="88"/>
              </w:rPr>
              <w:t>4</w:t>
            </w:r>
          </w:p>
        </w:tc>
        <w:tc>
          <w:tcPr>
            <w:tcW w:w="320" w:type="dxa"/>
            <w:vAlign w:val="bottom"/>
            <w:tcBorders>
              <w:right w:val="single" w:sz="8" w:color="010101"/>
            </w:tcBorders>
          </w:tcPr>
          <w:p>
            <w:pPr>
              <w:spacing w:after="0"/>
              <w:rPr>
                <w:sz w:val="16"/>
                <w:szCs w:val="16"/>
                <w:color w:val="auto"/>
              </w:rPr>
            </w:pPr>
          </w:p>
        </w:tc>
        <w:tc>
          <w:tcPr>
            <w:tcW w:w="1920" w:type="dxa"/>
            <w:vAlign w:val="bottom"/>
            <w:tcBorders>
              <w:right w:val="single" w:sz="8" w:color="010101"/>
            </w:tcBorders>
            <w:gridSpan w:val="3"/>
          </w:tcPr>
          <w:p>
            <w:pPr>
              <w:jc w:val="center"/>
              <w:ind w:right="20"/>
              <w:spacing w:after="0" w:line="191" w:lineRule="exact"/>
              <w:rPr>
                <w:sz w:val="20"/>
                <w:szCs w:val="20"/>
                <w:color w:val="auto"/>
              </w:rPr>
            </w:pPr>
            <w:r>
              <w:rPr>
                <w:rFonts w:ascii="Times New Roman" w:cs="Times New Roman" w:eastAsia="Times New Roman" w:hAnsi="Times New Roman"/>
                <w:sz w:val="18"/>
                <w:szCs w:val="18"/>
                <w:color w:val="FF0000"/>
                <w:strike w:val="1"/>
                <w:w w:val="99"/>
              </w:rPr>
              <w:t>&lt;2.25:1.00,</w:t>
            </w:r>
          </w:p>
        </w:tc>
        <w:tc>
          <w:tcPr>
            <w:tcW w:w="480" w:type="dxa"/>
            <w:vAlign w:val="bottom"/>
          </w:tcPr>
          <w:p>
            <w:pPr>
              <w:spacing w:after="0"/>
              <w:rPr>
                <w:sz w:val="16"/>
                <w:szCs w:val="16"/>
                <w:color w:val="auto"/>
              </w:rPr>
            </w:pPr>
          </w:p>
        </w:tc>
        <w:tc>
          <w:tcPr>
            <w:tcW w:w="48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FF0000"/>
                <w:strike w:val="1"/>
                <w:w w:val="98"/>
              </w:rPr>
              <w:t>2.00%</w:t>
            </w:r>
          </w:p>
        </w:tc>
        <w:tc>
          <w:tcPr>
            <w:tcW w:w="500" w:type="dxa"/>
            <w:vAlign w:val="bottom"/>
            <w:tcBorders>
              <w:right w:val="single" w:sz="8" w:color="010101"/>
            </w:tcBorders>
          </w:tcPr>
          <w:p>
            <w:pPr>
              <w:spacing w:after="0"/>
              <w:rPr>
                <w:sz w:val="16"/>
                <w:szCs w:val="16"/>
                <w:color w:val="auto"/>
              </w:rPr>
            </w:pPr>
          </w:p>
        </w:tc>
        <w:tc>
          <w:tcPr>
            <w:tcW w:w="960" w:type="dxa"/>
            <w:vAlign w:val="bottom"/>
            <w:gridSpan w:val="2"/>
          </w:tcPr>
          <w:p>
            <w:pPr>
              <w:jc w:val="center"/>
              <w:ind w:left="370"/>
              <w:spacing w:after="0" w:line="191" w:lineRule="exact"/>
              <w:rPr>
                <w:sz w:val="20"/>
                <w:szCs w:val="20"/>
                <w:color w:val="auto"/>
              </w:rPr>
            </w:pPr>
            <w:r>
              <w:rPr>
                <w:rFonts w:ascii="Times New Roman" w:cs="Times New Roman" w:eastAsia="Times New Roman" w:hAnsi="Times New Roman"/>
                <w:sz w:val="18"/>
                <w:szCs w:val="18"/>
                <w:color w:val="FF0000"/>
                <w:strike w:val="1"/>
                <w:w w:val="98"/>
              </w:rPr>
              <w:t>2.00%</w:t>
            </w:r>
          </w:p>
        </w:tc>
        <w:tc>
          <w:tcPr>
            <w:tcW w:w="160" w:type="dxa"/>
            <w:vAlign w:val="bottom"/>
          </w:tcPr>
          <w:p>
            <w:pPr>
              <w:spacing w:after="0"/>
              <w:rPr>
                <w:sz w:val="16"/>
                <w:szCs w:val="16"/>
                <w:color w:val="auto"/>
              </w:rPr>
            </w:pPr>
          </w:p>
        </w:tc>
        <w:tc>
          <w:tcPr>
            <w:tcW w:w="340" w:type="dxa"/>
            <w:vAlign w:val="bottom"/>
            <w:tcBorders>
              <w:right w:val="single" w:sz="8" w:color="010101"/>
            </w:tcBorders>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FF0000"/>
                <w:strike w:val="1"/>
                <w:w w:val="98"/>
              </w:rPr>
              <w:t>1.00%</w:t>
            </w:r>
          </w:p>
        </w:tc>
        <w:tc>
          <w:tcPr>
            <w:tcW w:w="560" w:type="dxa"/>
            <w:vAlign w:val="bottom"/>
            <w:tcBorders>
              <w:right w:val="single" w:sz="8" w:color="010101"/>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FF0000"/>
                <w:strike w:val="1"/>
                <w:w w:val="98"/>
              </w:rPr>
              <w:t>1.00%</w:t>
            </w:r>
          </w:p>
        </w:tc>
        <w:tc>
          <w:tcPr>
            <w:tcW w:w="500" w:type="dxa"/>
            <w:vAlign w:val="bottom"/>
            <w:tcBorders>
              <w:right w:val="single" w:sz="8" w:color="010101"/>
            </w:tcBorders>
          </w:tcPr>
          <w:p>
            <w:pPr>
              <w:spacing w:after="0"/>
              <w:rPr>
                <w:sz w:val="16"/>
                <w:szCs w:val="16"/>
                <w:color w:val="auto"/>
              </w:rPr>
            </w:pPr>
          </w:p>
        </w:tc>
        <w:tc>
          <w:tcPr>
            <w:tcW w:w="2340" w:type="dxa"/>
            <w:vAlign w:val="bottom"/>
            <w:tcBorders>
              <w:right w:val="single" w:sz="8" w:color="010101"/>
            </w:tcBorders>
          </w:tcPr>
          <w:p>
            <w:pPr>
              <w:jc w:val="center"/>
              <w:spacing w:after="0" w:line="191" w:lineRule="exact"/>
              <w:rPr>
                <w:sz w:val="20"/>
                <w:szCs w:val="20"/>
                <w:color w:val="auto"/>
              </w:rPr>
            </w:pPr>
            <w:r>
              <w:rPr>
                <w:rFonts w:ascii="Times New Roman" w:cs="Times New Roman" w:eastAsia="Times New Roman" w:hAnsi="Times New Roman"/>
                <w:sz w:val="18"/>
                <w:szCs w:val="18"/>
                <w:color w:val="FF0000"/>
                <w:strike w:val="1"/>
              </w:rPr>
              <w:t>0.25%</w:t>
            </w:r>
          </w:p>
        </w:tc>
        <w:tc>
          <w:tcPr>
            <w:tcW w:w="0" w:type="dxa"/>
            <w:vAlign w:val="bottom"/>
          </w:tcPr>
          <w:p>
            <w:pPr>
              <w:spacing w:after="0"/>
              <w:rPr>
                <w:sz w:val="1"/>
                <w:szCs w:val="1"/>
                <w:color w:val="auto"/>
              </w:rPr>
            </w:pPr>
          </w:p>
        </w:tc>
      </w:tr>
      <w:tr>
        <w:trPr>
          <w:trHeight w:val="234"/>
        </w:trPr>
        <w:tc>
          <w:tcPr>
            <w:tcW w:w="320" w:type="dxa"/>
            <w:vAlign w:val="bottom"/>
            <w:tcBorders>
              <w:left w:val="single" w:sz="8" w:color="010101"/>
              <w:bottom w:val="single" w:sz="8" w:color="010101"/>
            </w:tcBorders>
          </w:tcPr>
          <w:p>
            <w:pPr>
              <w:spacing w:after="0"/>
              <w:rPr>
                <w:sz w:val="20"/>
                <w:szCs w:val="20"/>
                <w:color w:val="auto"/>
              </w:rPr>
            </w:pPr>
          </w:p>
        </w:tc>
        <w:tc>
          <w:tcPr>
            <w:tcW w:w="40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right w:val="single" w:sz="8" w:color="010101"/>
            </w:tcBorders>
          </w:tcPr>
          <w:p>
            <w:pPr>
              <w:spacing w:after="0"/>
              <w:rPr>
                <w:sz w:val="20"/>
                <w:szCs w:val="20"/>
                <w:color w:val="auto"/>
              </w:rPr>
            </w:pPr>
          </w:p>
        </w:tc>
        <w:tc>
          <w:tcPr>
            <w:tcW w:w="580" w:type="dxa"/>
            <w:vAlign w:val="bottom"/>
            <w:tcBorders>
              <w:bottom w:val="single" w:sz="8" w:color="010101"/>
            </w:tcBorders>
          </w:tcPr>
          <w:p>
            <w:pPr>
              <w:spacing w:after="0"/>
              <w:rPr>
                <w:sz w:val="20"/>
                <w:szCs w:val="20"/>
                <w:color w:val="auto"/>
              </w:rPr>
            </w:pPr>
          </w:p>
        </w:tc>
        <w:tc>
          <w:tcPr>
            <w:tcW w:w="720" w:type="dxa"/>
            <w:vAlign w:val="bottom"/>
            <w:tcBorders>
              <w:bottom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FF0000"/>
                <w:strike w:val="1"/>
                <w:w w:val="95"/>
              </w:rPr>
              <w:t>but</w:t>
            </w:r>
          </w:p>
        </w:tc>
        <w:tc>
          <w:tcPr>
            <w:tcW w:w="620" w:type="dxa"/>
            <w:vAlign w:val="bottom"/>
            <w:tcBorders>
              <w:bottom w:val="single" w:sz="8" w:color="010101"/>
              <w:right w:val="single" w:sz="8" w:color="010101"/>
            </w:tcBorders>
          </w:tcPr>
          <w:p>
            <w:pPr>
              <w:spacing w:after="0"/>
              <w:rPr>
                <w:sz w:val="20"/>
                <w:szCs w:val="20"/>
                <w:color w:val="auto"/>
              </w:rPr>
            </w:pPr>
          </w:p>
        </w:tc>
        <w:tc>
          <w:tcPr>
            <w:tcW w:w="480" w:type="dxa"/>
            <w:vAlign w:val="bottom"/>
            <w:tcBorders>
              <w:bottom w:val="single" w:sz="8" w:color="010101"/>
            </w:tcBorders>
          </w:tcPr>
          <w:p>
            <w:pPr>
              <w:spacing w:after="0"/>
              <w:rPr>
                <w:sz w:val="20"/>
                <w:szCs w:val="20"/>
                <w:color w:val="auto"/>
              </w:rPr>
            </w:pPr>
          </w:p>
        </w:tc>
        <w:tc>
          <w:tcPr>
            <w:tcW w:w="16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500" w:type="dxa"/>
            <w:vAlign w:val="bottom"/>
            <w:tcBorders>
              <w:bottom w:val="single" w:sz="8" w:color="010101"/>
              <w:right w:val="single" w:sz="8" w:color="010101"/>
            </w:tcBorders>
          </w:tcPr>
          <w:p>
            <w:pPr>
              <w:spacing w:after="0"/>
              <w:rPr>
                <w:sz w:val="20"/>
                <w:szCs w:val="20"/>
                <w:color w:val="auto"/>
              </w:rPr>
            </w:pPr>
          </w:p>
        </w:tc>
        <w:tc>
          <w:tcPr>
            <w:tcW w:w="64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160" w:type="dxa"/>
            <w:vAlign w:val="bottom"/>
            <w:tcBorders>
              <w:bottom w:val="single" w:sz="8" w:color="010101"/>
            </w:tcBorders>
          </w:tcPr>
          <w:p>
            <w:pPr>
              <w:spacing w:after="0"/>
              <w:rPr>
                <w:sz w:val="20"/>
                <w:szCs w:val="20"/>
                <w:color w:val="auto"/>
              </w:rPr>
            </w:pPr>
          </w:p>
        </w:tc>
        <w:tc>
          <w:tcPr>
            <w:tcW w:w="340" w:type="dxa"/>
            <w:vAlign w:val="bottom"/>
            <w:tcBorders>
              <w:bottom w:val="single" w:sz="8" w:color="010101"/>
              <w:right w:val="single" w:sz="8" w:color="010101"/>
            </w:tcBorders>
          </w:tcPr>
          <w:p>
            <w:pPr>
              <w:spacing w:after="0"/>
              <w:rPr>
                <w:sz w:val="20"/>
                <w:szCs w:val="20"/>
                <w:color w:val="auto"/>
              </w:rPr>
            </w:pPr>
          </w:p>
        </w:tc>
        <w:tc>
          <w:tcPr>
            <w:tcW w:w="540" w:type="dxa"/>
            <w:vAlign w:val="bottom"/>
            <w:tcBorders>
              <w:bottom w:val="single" w:sz="8" w:color="010101"/>
            </w:tcBorders>
          </w:tcPr>
          <w:p>
            <w:pPr>
              <w:spacing w:after="0"/>
              <w:rPr>
                <w:sz w:val="20"/>
                <w:szCs w:val="20"/>
                <w:color w:val="auto"/>
              </w:rPr>
            </w:pPr>
          </w:p>
        </w:tc>
        <w:tc>
          <w:tcPr>
            <w:tcW w:w="14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560" w:type="dxa"/>
            <w:vAlign w:val="bottom"/>
            <w:tcBorders>
              <w:bottom w:val="single" w:sz="8" w:color="010101"/>
              <w:right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160" w:type="dxa"/>
            <w:vAlign w:val="bottom"/>
            <w:tcBorders>
              <w:bottom w:val="single" w:sz="8" w:color="010101"/>
            </w:tcBorders>
          </w:tcPr>
          <w:p>
            <w:pPr>
              <w:spacing w:after="0"/>
              <w:rPr>
                <w:sz w:val="20"/>
                <w:szCs w:val="20"/>
                <w:color w:val="auto"/>
              </w:rPr>
            </w:pPr>
          </w:p>
        </w:tc>
        <w:tc>
          <w:tcPr>
            <w:tcW w:w="160" w:type="dxa"/>
            <w:vAlign w:val="bottom"/>
            <w:tcBorders>
              <w:bottom w:val="single" w:sz="8" w:color="010101"/>
            </w:tcBorders>
          </w:tcPr>
          <w:p>
            <w:pPr>
              <w:spacing w:after="0"/>
              <w:rPr>
                <w:sz w:val="20"/>
                <w:szCs w:val="20"/>
                <w:color w:val="auto"/>
              </w:rPr>
            </w:pPr>
          </w:p>
        </w:tc>
        <w:tc>
          <w:tcPr>
            <w:tcW w:w="320" w:type="dxa"/>
            <w:vAlign w:val="bottom"/>
            <w:tcBorders>
              <w:bottom w:val="single" w:sz="8" w:color="010101"/>
            </w:tcBorders>
          </w:tcPr>
          <w:p>
            <w:pPr>
              <w:spacing w:after="0"/>
              <w:rPr>
                <w:sz w:val="20"/>
                <w:szCs w:val="20"/>
                <w:color w:val="auto"/>
              </w:rPr>
            </w:pPr>
          </w:p>
        </w:tc>
        <w:tc>
          <w:tcPr>
            <w:tcW w:w="500" w:type="dxa"/>
            <w:vAlign w:val="bottom"/>
            <w:tcBorders>
              <w:bottom w:val="single" w:sz="8" w:color="010101"/>
              <w:right w:val="single" w:sz="8" w:color="010101"/>
            </w:tcBorders>
          </w:tcPr>
          <w:p>
            <w:pPr>
              <w:spacing w:after="0"/>
              <w:rPr>
                <w:sz w:val="20"/>
                <w:szCs w:val="20"/>
                <w:color w:val="auto"/>
              </w:rPr>
            </w:pPr>
          </w:p>
        </w:tc>
        <w:tc>
          <w:tcPr>
            <w:tcW w:w="2340" w:type="dxa"/>
            <w:vAlign w:val="bottom"/>
            <w:tcBorders>
              <w:bottom w:val="single" w:sz="8" w:color="010101"/>
              <w:right w:val="single" w:sz="8" w:color="010101"/>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 w:type="dxa"/>
            <w:vAlign w:val="bottom"/>
            <w:tcBorders>
              <w:left w:val="single" w:sz="8" w:color="010101"/>
              <w:bottom w:val="single" w:sz="8" w:color="010101"/>
            </w:tcBorders>
          </w:tcPr>
          <w:p>
            <w:pPr>
              <w:spacing w:after="0"/>
              <w:rPr>
                <w:sz w:val="18"/>
                <w:szCs w:val="18"/>
                <w:color w:val="auto"/>
              </w:rPr>
            </w:pPr>
          </w:p>
        </w:tc>
        <w:tc>
          <w:tcPr>
            <w:tcW w:w="400" w:type="dxa"/>
            <w:vAlign w:val="bottom"/>
            <w:tcBorders>
              <w:bottom w:val="single" w:sz="8" w:color="010101"/>
            </w:tcBorders>
          </w:tcPr>
          <w:p>
            <w:pPr>
              <w:spacing w:after="0"/>
              <w:rPr>
                <w:sz w:val="18"/>
                <w:szCs w:val="18"/>
                <w:color w:val="auto"/>
              </w:rPr>
            </w:pPr>
          </w:p>
        </w:tc>
        <w:tc>
          <w:tcPr>
            <w:tcW w:w="320" w:type="dxa"/>
            <w:vAlign w:val="bottom"/>
            <w:tcBorders>
              <w:bottom w:val="single" w:sz="8" w:color="010101"/>
              <w:right w:val="single" w:sz="8" w:color="010101"/>
            </w:tcBorders>
          </w:tcPr>
          <w:p>
            <w:pPr>
              <w:spacing w:after="0"/>
              <w:rPr>
                <w:sz w:val="18"/>
                <w:szCs w:val="18"/>
                <w:color w:val="auto"/>
              </w:rPr>
            </w:pPr>
          </w:p>
        </w:tc>
        <w:tc>
          <w:tcPr>
            <w:tcW w:w="1920" w:type="dxa"/>
            <w:vAlign w:val="bottom"/>
            <w:tcBorders>
              <w:bottom w:val="single" w:sz="8" w:color="010101"/>
              <w:right w:val="single" w:sz="8" w:color="010101"/>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FF0000"/>
                <w:strike w:val="1"/>
                <w:w w:val="99"/>
              </w:rPr>
              <w:t>&gt;1.50:1.00</w:t>
            </w:r>
          </w:p>
        </w:tc>
        <w:tc>
          <w:tcPr>
            <w:tcW w:w="480" w:type="dxa"/>
            <w:vAlign w:val="bottom"/>
            <w:tcBorders>
              <w:bottom w:val="single" w:sz="8" w:color="010101"/>
            </w:tcBorders>
          </w:tcPr>
          <w:p>
            <w:pPr>
              <w:spacing w:after="0"/>
              <w:rPr>
                <w:sz w:val="18"/>
                <w:szCs w:val="18"/>
                <w:color w:val="auto"/>
              </w:rPr>
            </w:pPr>
          </w:p>
        </w:tc>
        <w:tc>
          <w:tcPr>
            <w:tcW w:w="160" w:type="dxa"/>
            <w:vAlign w:val="bottom"/>
            <w:tcBorders>
              <w:bottom w:val="single" w:sz="8" w:color="010101"/>
            </w:tcBorders>
          </w:tcPr>
          <w:p>
            <w:pPr>
              <w:spacing w:after="0"/>
              <w:rPr>
                <w:sz w:val="18"/>
                <w:szCs w:val="18"/>
                <w:color w:val="auto"/>
              </w:rPr>
            </w:pPr>
          </w:p>
        </w:tc>
        <w:tc>
          <w:tcPr>
            <w:tcW w:w="320" w:type="dxa"/>
            <w:vAlign w:val="bottom"/>
            <w:tcBorders>
              <w:bottom w:val="single" w:sz="8" w:color="010101"/>
            </w:tcBorders>
          </w:tcPr>
          <w:p>
            <w:pPr>
              <w:spacing w:after="0"/>
              <w:rPr>
                <w:sz w:val="18"/>
                <w:szCs w:val="18"/>
                <w:color w:val="auto"/>
              </w:rPr>
            </w:pPr>
          </w:p>
        </w:tc>
        <w:tc>
          <w:tcPr>
            <w:tcW w:w="500" w:type="dxa"/>
            <w:vAlign w:val="bottom"/>
            <w:tcBorders>
              <w:bottom w:val="single" w:sz="8" w:color="010101"/>
              <w:right w:val="single" w:sz="8" w:color="010101"/>
            </w:tcBorders>
          </w:tcPr>
          <w:p>
            <w:pPr>
              <w:spacing w:after="0"/>
              <w:rPr>
                <w:sz w:val="18"/>
                <w:szCs w:val="18"/>
                <w:color w:val="auto"/>
              </w:rPr>
            </w:pPr>
          </w:p>
        </w:tc>
        <w:tc>
          <w:tcPr>
            <w:tcW w:w="640" w:type="dxa"/>
            <w:vAlign w:val="bottom"/>
            <w:tcBorders>
              <w:bottom w:val="single" w:sz="8" w:color="010101"/>
            </w:tcBorders>
          </w:tcPr>
          <w:p>
            <w:pPr>
              <w:spacing w:after="0"/>
              <w:rPr>
                <w:sz w:val="18"/>
                <w:szCs w:val="18"/>
                <w:color w:val="auto"/>
              </w:rPr>
            </w:pPr>
          </w:p>
        </w:tc>
        <w:tc>
          <w:tcPr>
            <w:tcW w:w="320" w:type="dxa"/>
            <w:vAlign w:val="bottom"/>
            <w:tcBorders>
              <w:bottom w:val="single" w:sz="8" w:color="010101"/>
            </w:tcBorders>
          </w:tcPr>
          <w:p>
            <w:pPr>
              <w:spacing w:after="0"/>
              <w:rPr>
                <w:sz w:val="18"/>
                <w:szCs w:val="18"/>
                <w:color w:val="auto"/>
              </w:rPr>
            </w:pPr>
          </w:p>
        </w:tc>
        <w:tc>
          <w:tcPr>
            <w:tcW w:w="160" w:type="dxa"/>
            <w:vAlign w:val="bottom"/>
            <w:tcBorders>
              <w:bottom w:val="single" w:sz="8" w:color="010101"/>
            </w:tcBorders>
          </w:tcPr>
          <w:p>
            <w:pPr>
              <w:spacing w:after="0"/>
              <w:rPr>
                <w:sz w:val="18"/>
                <w:szCs w:val="18"/>
                <w:color w:val="auto"/>
              </w:rPr>
            </w:pPr>
          </w:p>
        </w:tc>
        <w:tc>
          <w:tcPr>
            <w:tcW w:w="340" w:type="dxa"/>
            <w:vAlign w:val="bottom"/>
            <w:tcBorders>
              <w:bottom w:val="single" w:sz="8" w:color="010101"/>
              <w:right w:val="single" w:sz="8" w:color="010101"/>
            </w:tcBorders>
          </w:tcPr>
          <w:p>
            <w:pPr>
              <w:spacing w:after="0"/>
              <w:rPr>
                <w:sz w:val="18"/>
                <w:szCs w:val="18"/>
                <w:color w:val="auto"/>
              </w:rPr>
            </w:pPr>
          </w:p>
        </w:tc>
        <w:tc>
          <w:tcPr>
            <w:tcW w:w="540" w:type="dxa"/>
            <w:vAlign w:val="bottom"/>
            <w:tcBorders>
              <w:bottom w:val="single" w:sz="8" w:color="010101"/>
            </w:tcBorders>
          </w:tcPr>
          <w:p>
            <w:pPr>
              <w:spacing w:after="0"/>
              <w:rPr>
                <w:sz w:val="18"/>
                <w:szCs w:val="18"/>
                <w:color w:val="auto"/>
              </w:rPr>
            </w:pPr>
          </w:p>
        </w:tc>
        <w:tc>
          <w:tcPr>
            <w:tcW w:w="140" w:type="dxa"/>
            <w:vAlign w:val="bottom"/>
            <w:tcBorders>
              <w:bottom w:val="single" w:sz="8" w:color="010101"/>
            </w:tcBorders>
          </w:tcPr>
          <w:p>
            <w:pPr>
              <w:spacing w:after="0"/>
              <w:rPr>
                <w:sz w:val="18"/>
                <w:szCs w:val="18"/>
                <w:color w:val="auto"/>
              </w:rPr>
            </w:pPr>
          </w:p>
        </w:tc>
        <w:tc>
          <w:tcPr>
            <w:tcW w:w="320" w:type="dxa"/>
            <w:vAlign w:val="bottom"/>
            <w:tcBorders>
              <w:bottom w:val="single" w:sz="8" w:color="010101"/>
            </w:tcBorders>
          </w:tcPr>
          <w:p>
            <w:pPr>
              <w:spacing w:after="0"/>
              <w:rPr>
                <w:sz w:val="18"/>
                <w:szCs w:val="18"/>
                <w:color w:val="auto"/>
              </w:rPr>
            </w:pPr>
          </w:p>
        </w:tc>
        <w:tc>
          <w:tcPr>
            <w:tcW w:w="560" w:type="dxa"/>
            <w:vAlign w:val="bottom"/>
            <w:tcBorders>
              <w:bottom w:val="single" w:sz="8" w:color="010101"/>
              <w:right w:val="single" w:sz="8" w:color="010101"/>
            </w:tcBorders>
          </w:tcPr>
          <w:p>
            <w:pPr>
              <w:spacing w:after="0"/>
              <w:rPr>
                <w:sz w:val="18"/>
                <w:szCs w:val="18"/>
                <w:color w:val="auto"/>
              </w:rPr>
            </w:pPr>
          </w:p>
        </w:tc>
        <w:tc>
          <w:tcPr>
            <w:tcW w:w="320" w:type="dxa"/>
            <w:vAlign w:val="bottom"/>
            <w:tcBorders>
              <w:bottom w:val="single" w:sz="8" w:color="010101"/>
            </w:tcBorders>
          </w:tcPr>
          <w:p>
            <w:pPr>
              <w:spacing w:after="0"/>
              <w:rPr>
                <w:sz w:val="18"/>
                <w:szCs w:val="18"/>
                <w:color w:val="auto"/>
              </w:rPr>
            </w:pPr>
          </w:p>
        </w:tc>
        <w:tc>
          <w:tcPr>
            <w:tcW w:w="160" w:type="dxa"/>
            <w:vAlign w:val="bottom"/>
            <w:tcBorders>
              <w:bottom w:val="single" w:sz="8" w:color="010101"/>
            </w:tcBorders>
          </w:tcPr>
          <w:p>
            <w:pPr>
              <w:spacing w:after="0"/>
              <w:rPr>
                <w:sz w:val="18"/>
                <w:szCs w:val="18"/>
                <w:color w:val="auto"/>
              </w:rPr>
            </w:pPr>
          </w:p>
        </w:tc>
        <w:tc>
          <w:tcPr>
            <w:tcW w:w="160" w:type="dxa"/>
            <w:vAlign w:val="bottom"/>
            <w:tcBorders>
              <w:bottom w:val="single" w:sz="8" w:color="010101"/>
            </w:tcBorders>
          </w:tcPr>
          <w:p>
            <w:pPr>
              <w:spacing w:after="0"/>
              <w:rPr>
                <w:sz w:val="18"/>
                <w:szCs w:val="18"/>
                <w:color w:val="auto"/>
              </w:rPr>
            </w:pPr>
          </w:p>
        </w:tc>
        <w:tc>
          <w:tcPr>
            <w:tcW w:w="320" w:type="dxa"/>
            <w:vAlign w:val="bottom"/>
            <w:tcBorders>
              <w:bottom w:val="single" w:sz="8" w:color="010101"/>
            </w:tcBorders>
          </w:tcPr>
          <w:p>
            <w:pPr>
              <w:spacing w:after="0"/>
              <w:rPr>
                <w:sz w:val="18"/>
                <w:szCs w:val="18"/>
                <w:color w:val="auto"/>
              </w:rPr>
            </w:pPr>
          </w:p>
        </w:tc>
        <w:tc>
          <w:tcPr>
            <w:tcW w:w="500" w:type="dxa"/>
            <w:vAlign w:val="bottom"/>
            <w:tcBorders>
              <w:bottom w:val="single" w:sz="8" w:color="010101"/>
              <w:right w:val="single" w:sz="8" w:color="010101"/>
            </w:tcBorders>
          </w:tcPr>
          <w:p>
            <w:pPr>
              <w:spacing w:after="0"/>
              <w:rPr>
                <w:sz w:val="18"/>
                <w:szCs w:val="18"/>
                <w:color w:val="auto"/>
              </w:rPr>
            </w:pPr>
          </w:p>
        </w:tc>
        <w:tc>
          <w:tcPr>
            <w:tcW w:w="234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010101"/>
              <w:bottom w:val="single" w:sz="8" w:color="010101"/>
            </w:tcBorders>
          </w:tcPr>
          <w:p>
            <w:pPr>
              <w:spacing w:after="0"/>
              <w:rPr>
                <w:sz w:val="18"/>
                <w:szCs w:val="18"/>
                <w:color w:val="auto"/>
              </w:rPr>
            </w:pPr>
          </w:p>
        </w:tc>
        <w:tc>
          <w:tcPr>
            <w:tcW w:w="400" w:type="dxa"/>
            <w:vAlign w:val="bottom"/>
            <w:tcBorders>
              <w:bottom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FF0000"/>
                <w:strike w:val="1"/>
                <w:w w:val="88"/>
              </w:rPr>
              <w:t>5</w:t>
            </w:r>
          </w:p>
        </w:tc>
        <w:tc>
          <w:tcPr>
            <w:tcW w:w="320" w:type="dxa"/>
            <w:vAlign w:val="bottom"/>
            <w:tcBorders>
              <w:bottom w:val="single" w:sz="8" w:color="010101"/>
              <w:right w:val="single" w:sz="8" w:color="010101"/>
            </w:tcBorders>
          </w:tcPr>
          <w:p>
            <w:pPr>
              <w:spacing w:after="0"/>
              <w:rPr>
                <w:sz w:val="18"/>
                <w:szCs w:val="18"/>
                <w:color w:val="auto"/>
              </w:rPr>
            </w:pPr>
          </w:p>
        </w:tc>
        <w:tc>
          <w:tcPr>
            <w:tcW w:w="1920" w:type="dxa"/>
            <w:vAlign w:val="bottom"/>
            <w:tcBorders>
              <w:bottom w:val="single" w:sz="8" w:color="010101"/>
              <w:right w:val="single" w:sz="8" w:color="010101"/>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FF0000"/>
                <w:strike w:val="1"/>
                <w:w w:val="99"/>
              </w:rPr>
              <w:t>&lt;1.50:1.00</w:t>
            </w:r>
          </w:p>
        </w:tc>
        <w:tc>
          <w:tcPr>
            <w:tcW w:w="480" w:type="dxa"/>
            <w:vAlign w:val="bottom"/>
            <w:tcBorders>
              <w:bottom w:val="single" w:sz="8" w:color="010101"/>
            </w:tcBorders>
          </w:tcPr>
          <w:p>
            <w:pPr>
              <w:spacing w:after="0"/>
              <w:rPr>
                <w:sz w:val="18"/>
                <w:szCs w:val="18"/>
                <w:color w:val="auto"/>
              </w:rPr>
            </w:pPr>
          </w:p>
        </w:tc>
        <w:tc>
          <w:tcPr>
            <w:tcW w:w="480" w:type="dxa"/>
            <w:vAlign w:val="bottom"/>
            <w:tcBorders>
              <w:bottom w:val="single" w:sz="8" w:color="010101"/>
            </w:tcBorders>
            <w:gridSpan w:val="2"/>
          </w:tcPr>
          <w:p>
            <w:pPr>
              <w:jc w:val="center"/>
              <w:spacing w:after="0"/>
              <w:rPr>
                <w:sz w:val="20"/>
                <w:szCs w:val="20"/>
                <w:color w:val="auto"/>
              </w:rPr>
            </w:pPr>
            <w:r>
              <w:rPr>
                <w:rFonts w:ascii="Times New Roman" w:cs="Times New Roman" w:eastAsia="Times New Roman" w:hAnsi="Times New Roman"/>
                <w:sz w:val="18"/>
                <w:szCs w:val="18"/>
                <w:color w:val="FF0000"/>
                <w:strike w:val="1"/>
                <w:w w:val="98"/>
              </w:rPr>
              <w:t>1.75%</w:t>
            </w:r>
          </w:p>
        </w:tc>
        <w:tc>
          <w:tcPr>
            <w:tcW w:w="500" w:type="dxa"/>
            <w:vAlign w:val="bottom"/>
            <w:tcBorders>
              <w:bottom w:val="single" w:sz="8" w:color="010101"/>
              <w:right w:val="single" w:sz="8" w:color="010101"/>
            </w:tcBorders>
          </w:tcPr>
          <w:p>
            <w:pPr>
              <w:spacing w:after="0"/>
              <w:rPr>
                <w:sz w:val="18"/>
                <w:szCs w:val="18"/>
                <w:color w:val="auto"/>
              </w:rPr>
            </w:pPr>
          </w:p>
        </w:tc>
        <w:tc>
          <w:tcPr>
            <w:tcW w:w="960" w:type="dxa"/>
            <w:vAlign w:val="bottom"/>
            <w:tcBorders>
              <w:bottom w:val="single" w:sz="8" w:color="010101"/>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FF0000"/>
                <w:strike w:val="1"/>
                <w:w w:val="98"/>
              </w:rPr>
              <w:t>1.75%</w:t>
            </w:r>
          </w:p>
        </w:tc>
        <w:tc>
          <w:tcPr>
            <w:tcW w:w="160" w:type="dxa"/>
            <w:vAlign w:val="bottom"/>
            <w:tcBorders>
              <w:bottom w:val="single" w:sz="8" w:color="010101"/>
            </w:tcBorders>
          </w:tcPr>
          <w:p>
            <w:pPr>
              <w:spacing w:after="0"/>
              <w:rPr>
                <w:sz w:val="18"/>
                <w:szCs w:val="18"/>
                <w:color w:val="auto"/>
              </w:rPr>
            </w:pPr>
          </w:p>
        </w:tc>
        <w:tc>
          <w:tcPr>
            <w:tcW w:w="340" w:type="dxa"/>
            <w:vAlign w:val="bottom"/>
            <w:tcBorders>
              <w:bottom w:val="single" w:sz="8" w:color="010101"/>
              <w:right w:val="single" w:sz="8" w:color="010101"/>
            </w:tcBorders>
          </w:tcPr>
          <w:p>
            <w:pPr>
              <w:spacing w:after="0"/>
              <w:rPr>
                <w:sz w:val="18"/>
                <w:szCs w:val="18"/>
                <w:color w:val="auto"/>
              </w:rPr>
            </w:pPr>
          </w:p>
        </w:tc>
        <w:tc>
          <w:tcPr>
            <w:tcW w:w="540" w:type="dxa"/>
            <w:vAlign w:val="bottom"/>
            <w:tcBorders>
              <w:bottom w:val="single" w:sz="8" w:color="010101"/>
            </w:tcBorders>
          </w:tcPr>
          <w:p>
            <w:pPr>
              <w:spacing w:after="0"/>
              <w:rPr>
                <w:sz w:val="18"/>
                <w:szCs w:val="18"/>
                <w:color w:val="auto"/>
              </w:rPr>
            </w:pPr>
          </w:p>
        </w:tc>
        <w:tc>
          <w:tcPr>
            <w:tcW w:w="460" w:type="dxa"/>
            <w:vAlign w:val="bottom"/>
            <w:tcBorders>
              <w:bottom w:val="single" w:sz="8" w:color="010101"/>
            </w:tcBorders>
            <w:gridSpan w:val="2"/>
          </w:tcPr>
          <w:p>
            <w:pPr>
              <w:jc w:val="center"/>
              <w:spacing w:after="0"/>
              <w:rPr>
                <w:sz w:val="20"/>
                <w:szCs w:val="20"/>
                <w:color w:val="auto"/>
              </w:rPr>
            </w:pPr>
            <w:r>
              <w:rPr>
                <w:rFonts w:ascii="Times New Roman" w:cs="Times New Roman" w:eastAsia="Times New Roman" w:hAnsi="Times New Roman"/>
                <w:sz w:val="18"/>
                <w:szCs w:val="18"/>
                <w:color w:val="FF0000"/>
                <w:strike w:val="1"/>
                <w:w w:val="98"/>
              </w:rPr>
              <w:t>0.75%</w:t>
            </w:r>
          </w:p>
        </w:tc>
        <w:tc>
          <w:tcPr>
            <w:tcW w:w="560" w:type="dxa"/>
            <w:vAlign w:val="bottom"/>
            <w:tcBorders>
              <w:bottom w:val="single" w:sz="8" w:color="010101"/>
              <w:right w:val="single" w:sz="8" w:color="010101"/>
            </w:tcBorders>
          </w:tcPr>
          <w:p>
            <w:pPr>
              <w:spacing w:after="0"/>
              <w:rPr>
                <w:sz w:val="18"/>
                <w:szCs w:val="18"/>
                <w:color w:val="auto"/>
              </w:rPr>
            </w:pPr>
          </w:p>
        </w:tc>
        <w:tc>
          <w:tcPr>
            <w:tcW w:w="320" w:type="dxa"/>
            <w:vAlign w:val="bottom"/>
            <w:tcBorders>
              <w:bottom w:val="single" w:sz="8" w:color="010101"/>
            </w:tcBorders>
          </w:tcPr>
          <w:p>
            <w:pPr>
              <w:spacing w:after="0"/>
              <w:rPr>
                <w:sz w:val="18"/>
                <w:szCs w:val="18"/>
                <w:color w:val="auto"/>
              </w:rPr>
            </w:pPr>
          </w:p>
        </w:tc>
        <w:tc>
          <w:tcPr>
            <w:tcW w:w="160" w:type="dxa"/>
            <w:vAlign w:val="bottom"/>
            <w:tcBorders>
              <w:bottom w:val="single" w:sz="8" w:color="010101"/>
            </w:tcBorders>
          </w:tcPr>
          <w:p>
            <w:pPr>
              <w:spacing w:after="0"/>
              <w:rPr>
                <w:sz w:val="18"/>
                <w:szCs w:val="18"/>
                <w:color w:val="auto"/>
              </w:rPr>
            </w:pPr>
          </w:p>
        </w:tc>
        <w:tc>
          <w:tcPr>
            <w:tcW w:w="480" w:type="dxa"/>
            <w:vAlign w:val="bottom"/>
            <w:tcBorders>
              <w:bottom w:val="single" w:sz="8" w:color="010101"/>
            </w:tcBorders>
            <w:gridSpan w:val="2"/>
          </w:tcPr>
          <w:p>
            <w:pPr>
              <w:jc w:val="center"/>
              <w:spacing w:after="0"/>
              <w:rPr>
                <w:sz w:val="20"/>
                <w:szCs w:val="20"/>
                <w:color w:val="auto"/>
              </w:rPr>
            </w:pPr>
            <w:r>
              <w:rPr>
                <w:rFonts w:ascii="Times New Roman" w:cs="Times New Roman" w:eastAsia="Times New Roman" w:hAnsi="Times New Roman"/>
                <w:sz w:val="18"/>
                <w:szCs w:val="18"/>
                <w:color w:val="FF0000"/>
                <w:strike w:val="1"/>
                <w:w w:val="98"/>
              </w:rPr>
              <w:t>0.75%</w:t>
            </w:r>
          </w:p>
        </w:tc>
        <w:tc>
          <w:tcPr>
            <w:tcW w:w="500" w:type="dxa"/>
            <w:vAlign w:val="bottom"/>
            <w:tcBorders>
              <w:bottom w:val="single" w:sz="8" w:color="010101"/>
              <w:right w:val="single" w:sz="8" w:color="010101"/>
            </w:tcBorders>
          </w:tcPr>
          <w:p>
            <w:pPr>
              <w:spacing w:after="0"/>
              <w:rPr>
                <w:sz w:val="18"/>
                <w:szCs w:val="18"/>
                <w:color w:val="auto"/>
              </w:rPr>
            </w:pPr>
          </w:p>
        </w:tc>
        <w:tc>
          <w:tcPr>
            <w:tcW w:w="234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color w:val="FF0000"/>
                <w:strike w:val="1"/>
              </w:rPr>
              <w:t>0.20%</w:t>
            </w:r>
          </w:p>
        </w:tc>
        <w:tc>
          <w:tcPr>
            <w:tcW w:w="0" w:type="dxa"/>
            <w:vAlign w:val="bottom"/>
          </w:tcPr>
          <w:p>
            <w:pPr>
              <w:spacing w:after="0"/>
              <w:rPr>
                <w:sz w:val="1"/>
                <w:szCs w:val="1"/>
                <w:color w:val="auto"/>
              </w:rPr>
            </w:pPr>
          </w:p>
        </w:tc>
      </w:tr>
      <w:tr>
        <w:trPr>
          <w:trHeight w:val="642"/>
        </w:trPr>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3</w:t>
            </w: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26" w:name="page27"/>
    <w:bookmarkEnd w:id="26"/>
    <w:p>
      <w:pPr>
        <w:jc w:val="both"/>
        <w:ind w:firstLine="648"/>
        <w:spacing w:after="0" w:line="255" w:lineRule="auto"/>
        <w:rPr>
          <w:sz w:val="20"/>
          <w:szCs w:val="20"/>
          <w:color w:val="auto"/>
        </w:rPr>
      </w:pPr>
      <w:r>
        <w:rPr>
          <w:rFonts w:ascii="Times New Roman" w:cs="Times New Roman" w:eastAsia="Times New Roman" w:hAnsi="Times New Roman"/>
          <w:sz w:val="18"/>
          <w:szCs w:val="18"/>
          <w:color w:val="FF0000"/>
          <w:strike w:val="1"/>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 w:cs="Times New Roman" w:eastAsia="Times New Roman" w:hAnsi="Times New Roman"/>
          <w:sz w:val="18"/>
          <w:szCs w:val="18"/>
          <w:u w:val="single" w:color="auto"/>
          <w:color w:val="FF0000"/>
          <w:strike w:val="1"/>
        </w:rPr>
        <w:t>Section 6.04(d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however</w:t>
      </w:r>
      <w:r>
        <w:rPr>
          <w:rFonts w:ascii="Times New Roman" w:cs="Times New Roman" w:eastAsia="Times New Roman" w:hAnsi="Times New Roman"/>
          <w:sz w:val="18"/>
          <w:szCs w:val="18"/>
          <w:color w:val="FF0000"/>
          <w:strike w:val="1"/>
        </w:rPr>
        <w:t xml:space="preserve">, that if a Compliance Certificate is not delivered when due in accordance with </w:t>
      </w:r>
      <w:r>
        <w:rPr>
          <w:rFonts w:ascii="Times New Roman" w:cs="Times New Roman" w:eastAsia="Times New Roman" w:hAnsi="Times New Roman"/>
          <w:sz w:val="18"/>
          <w:szCs w:val="18"/>
          <w:u w:val="single" w:color="auto"/>
          <w:color w:val="FF0000"/>
          <w:strike w:val="1"/>
        </w:rPr>
        <w:t>Section 6.04(d</w:t>
      </w:r>
      <w:r>
        <w:rPr>
          <w:rFonts w:ascii="Times New Roman" w:cs="Times New Roman" w:eastAsia="Times New Roman" w:hAnsi="Times New Roman"/>
          <w:sz w:val="18"/>
          <w:szCs w:val="18"/>
          <w:color w:val="FF0000"/>
          <w:strike w:val="1"/>
        </w:rPr>
        <w:t>), then, upon the request of the Required Lenders, Pricing Level 1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 whereupon the Applicable Rate shall be adjusted based upon the calculation of the Consolidated Leverage Ratio contained in such Compliance Certificate. In addition, at all times while the Default Rate is in effect, the highest rate set forth in each column of the Applicable Rate shall apply.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FF0000"/>
          <w:strike w:val="1"/>
        </w:rPr>
        <w:t xml:space="preserve">Notwithstanding anything to the contrary contained in this definition, (i) the determination of the Applicable Rate for any period shall be subject to the provisions of </w:t>
      </w:r>
      <w:r>
        <w:rPr>
          <w:rFonts w:ascii="Times New Roman" w:cs="Times New Roman" w:eastAsia="Times New Roman" w:hAnsi="Times New Roman"/>
          <w:sz w:val="18"/>
          <w:szCs w:val="18"/>
          <w:u w:val="single" w:color="auto"/>
          <w:color w:val="FF0000"/>
          <w:strike w:val="1"/>
        </w:rPr>
        <w:t>Section 2.10(b</w:t>
      </w:r>
      <w:r>
        <w:rPr>
          <w:rFonts w:ascii="Times New Roman" w:cs="Times New Roman" w:eastAsia="Times New Roman" w:hAnsi="Times New Roman"/>
          <w:sz w:val="18"/>
          <w:szCs w:val="18"/>
          <w:color w:val="FF0000"/>
          <w:strike w:val="1"/>
        </w:rPr>
        <w:t xml:space="preserve">), (ii) the Applicable Rate shall be set at Pricing Level 1 (x) from the Fifth Amendment Effective Date until the first Business Day immediately following the delivery of a Compliance Certificate demonstrating the end of the Specified Period and (y) during any Specified Cure Period and (iii) the Applicable Rate with respect to any Incremental Term Loan shall be as set forth in the definitive documentation therefor (subject to the requirements of </w:t>
      </w:r>
      <w:r>
        <w:rPr>
          <w:rFonts w:ascii="Times New Roman" w:cs="Times New Roman" w:eastAsia="Times New Roman" w:hAnsi="Times New Roman"/>
          <w:sz w:val="18"/>
          <w:szCs w:val="18"/>
          <w:u w:val="single" w:color="auto"/>
          <w:color w:val="FF0000"/>
          <w:strike w:val="1"/>
        </w:rPr>
        <w:t>Section 2.16</w:t>
      </w:r>
      <w:r>
        <w:rPr>
          <w:rFonts w:ascii="Times New Roman" w:cs="Times New Roman" w:eastAsia="Times New Roman" w:hAnsi="Times New Roman"/>
          <w:sz w:val="18"/>
          <w:szCs w:val="18"/>
          <w:color w:val="FF0000"/>
          <w:strike w:val="1"/>
        </w:rPr>
        <w:t>). Any adjustment in the Applicable Rate shall be applicable to all Credit Extensions then existing or subsequently made or issued.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 xml:space="preserve">The Applicable Rate set forth above shall be increased as, and to the extent, required by </w:t>
      </w:r>
      <w:r>
        <w:rPr>
          <w:rFonts w:ascii="Times New Roman" w:cs="Times New Roman" w:eastAsia="Times New Roman" w:hAnsi="Times New Roman"/>
          <w:sz w:val="18"/>
          <w:szCs w:val="18"/>
          <w:u w:val="single" w:color="auto"/>
          <w:color w:val="FF0000"/>
          <w:strike w:val="1"/>
        </w:rPr>
        <w:t>Section 2.16.</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Applicable Revolving Percentage</w:t>
      </w:r>
      <w:r>
        <w:rPr>
          <w:rFonts w:ascii="Times New Roman" w:cs="Times New Roman" w:eastAsia="Times New Roman" w:hAnsi="Times New Roman"/>
          <w:sz w:val="18"/>
          <w:szCs w:val="18"/>
          <w:color w:val="auto"/>
        </w:rPr>
        <w:t>” means with respect to any Revolving Lender at any time, such Revolving Lender’s Applicable Percentage in respect of the Revolving Facility at such time.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Appropriate Lender</w:t>
      </w:r>
      <w:r>
        <w:rPr>
          <w:rFonts w:ascii="Times New Roman" w:cs="Times New Roman" w:eastAsia="Times New Roman" w:hAnsi="Times New Roman"/>
          <w:sz w:val="18"/>
          <w:szCs w:val="18"/>
          <w:color w:val="auto"/>
        </w:rPr>
        <w:t>” means, at any time, (a) with respect to any Facility, a Lender that has a Commitment with respect to such Facility or holds a Loan under such Facility at such time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(b) with respect to the Letter of Credit Sublimit, (i) the L/C Issuer and (ii) if any Letters of Credit have been issued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 Revolving Lenders </w:t>
      </w:r>
      <w:r>
        <w:rPr>
          <w:rFonts w:ascii="Times New Roman" w:cs="Times New Roman" w:eastAsia="Times New Roman" w:hAnsi="Times New Roman"/>
          <w:sz w:val="18"/>
          <w:szCs w:val="18"/>
          <w:color w:val="FF0000"/>
        </w:rPr>
        <w:t>and (c) with respect to the Swingline Sublimit, (i) the Swingline Lender and (ii) if any Swingline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 xml:space="preserve">Loans are outstanding pursuant to </w:t>
      </w:r>
      <w:r>
        <w:rPr>
          <w:rFonts w:ascii="Times New Roman" w:cs="Times New Roman" w:eastAsia="Times New Roman" w:hAnsi="Times New Roman"/>
          <w:sz w:val="18"/>
          <w:szCs w:val="18"/>
          <w:u w:val="single" w:color="auto"/>
          <w:color w:val="FF0000"/>
        </w:rPr>
        <w:t>Section 2.04(a</w:t>
      </w:r>
      <w:r>
        <w:rPr>
          <w:rFonts w:ascii="Times New Roman" w:cs="Times New Roman" w:eastAsia="Times New Roman" w:hAnsi="Times New Roman"/>
          <w:sz w:val="18"/>
          <w:szCs w:val="18"/>
          <w:color w:val="FF0000"/>
        </w:rPr>
        <w:t xml:space="preserve">), the </w:t>
      </w:r>
      <w:r>
        <w:rPr>
          <w:rFonts w:ascii="Times New Roman" w:cs="Times New Roman" w:eastAsia="Times New Roman" w:hAnsi="Times New Roman"/>
          <w:sz w:val="18"/>
          <w:szCs w:val="18"/>
          <w:color w:val="FF0000"/>
          <w:strike w:val="1"/>
        </w:rPr>
        <w:t>Revolving Lenders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-224155</wp:posOffset>
            </wp:positionV>
            <wp:extent cx="23571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Arrangers</w:t>
      </w:r>
      <w:r>
        <w:rPr>
          <w:rFonts w:ascii="Times New Roman" w:cs="Times New Roman" w:eastAsia="Times New Roman" w:hAnsi="Times New Roman"/>
          <w:sz w:val="18"/>
          <w:szCs w:val="18"/>
          <w:color w:val="auto"/>
        </w:rPr>
        <w:t>” means BofA Securities and BMO Capital Markets Corp., in their capacities as joint lead arrangers.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Assets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any other form (including an electronic documentation form generated by use of an electronic platform) approved by the Administrative Agent.</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Attributable Indebtedness</w:t>
      </w:r>
      <w:r>
        <w:rPr>
          <w:rFonts w:ascii="Times New Roman" w:cs="Times New Roman" w:eastAsia="Times New Roman" w:hAnsi="Times New Roman"/>
          <w:sz w:val="18"/>
          <w:szCs w:val="18"/>
          <w:color w:val="auto"/>
        </w:rPr>
        <w:t>” means, on any date, (a) in respect of any Capital Lease Obligation of any Person, the capitalized amount thereof that would appear on a balance sheet of such Person prepared as of such date in accordance with GAAP,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(c) all Synthetic Debt of such Person and (d) in respect of any Sale and Leaseback Transaction, the present value (discounted in accordance with GAAP at the debt rate implied in the applicable lease) of the obligations of the lessee for rental payments during the term of such lease.</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Borrower and its Subsidiaries for the fiscal year ended December 31, 2019 and the related Consolidated statements of income or operations, shareholders’ equity and cash flows for such fiscal year of the Borrower and its Subsidiaries, including the notes thereto.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Auto-Extension Letter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Availability Period</w:t>
      </w:r>
      <w:r>
        <w:rPr>
          <w:rFonts w:ascii="Times New Roman" w:cs="Times New Roman" w:eastAsia="Times New Roman" w:hAnsi="Times New Roman"/>
          <w:sz w:val="18"/>
          <w:szCs w:val="18"/>
          <w:color w:val="auto"/>
        </w:rPr>
        <w:t xml:space="preserve">” means in respect of the Revolving Facility, the period from and including the Closing Date to the earliest of (i) the Maturity Date for the Revolving Facility, (ii) the date of termination of the Revolving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(iii) the date of termination of the Commitment of each Revolving Lender to make Revolving Loans and of the obligation of the L/C Issuer to make L/C Credit Extensions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Bail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Bail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Base Rate</w:t>
      </w:r>
      <w:r>
        <w:rPr>
          <w:rFonts w:ascii="Times New Roman" w:cs="Times New Roman" w:eastAsia="Times New Roman" w:hAnsi="Times New Roman"/>
          <w:sz w:val="18"/>
          <w:szCs w:val="18"/>
          <w:color w:val="auto"/>
        </w:rPr>
        <w:t xml:space="preserve">” means for any day a fluctuating rate of interest per annum equal to the highest of (a) the Federal Funds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0.50%, (b) the rate of interest in effect for such day as publicly announced from time to time by Bank of America as its “prime rate,” and (c) Term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1.00%, subject to the interest rate floors set forth therein;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if the Base Rate shall be less than 1.00%, such rate shall be deemed 1.00%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hereof, then the Base Rate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above.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Base Rate Loan</w:t>
      </w:r>
      <w:r>
        <w:rPr>
          <w:rFonts w:ascii="Times New Roman" w:cs="Times New Roman" w:eastAsia="Times New Roman" w:hAnsi="Times New Roman"/>
          <w:sz w:val="18"/>
          <w:szCs w:val="18"/>
          <w:color w:val="auto"/>
        </w:rPr>
        <w:t>” means a Revolving Loan or a Term Loan that bears interest based on the Base Rate. All Base Rate Loans are only available to the Borrower and Loans denominated in Dollars.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BofA Securities</w:t>
      </w:r>
      <w:r>
        <w:rPr>
          <w:rFonts w:ascii="Times New Roman" w:cs="Times New Roman" w:eastAsia="Times New Roman" w:hAnsi="Times New Roman"/>
          <w:sz w:val="18"/>
          <w:szCs w:val="18"/>
          <w:color w:val="auto"/>
        </w:rPr>
        <w:t>” means BofA Securities,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Borrower</w:t>
      </w:r>
      <w:r>
        <w:rPr>
          <w:rFonts w:ascii="Times New Roman" w:cs="Times New Roman" w:eastAsia="Times New Roman" w:hAnsi="Times New Roman"/>
          <w:sz w:val="18"/>
          <w:szCs w:val="18"/>
          <w:color w:val="auto"/>
        </w:rPr>
        <w:t>” has the meaning specified in the introductory paragraph hereto. “</w:t>
      </w:r>
      <w:r>
        <w:rPr>
          <w:rFonts w:ascii="Times New Roman" w:cs="Times New Roman" w:eastAsia="Times New Roman" w:hAnsi="Times New Roman"/>
          <w:sz w:val="18"/>
          <w:szCs w:val="18"/>
          <w:i w:val="1"/>
          <w:iCs w:val="1"/>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6.04(l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Borrowing</w:t>
      </w:r>
      <w:r>
        <w:rPr>
          <w:rFonts w:ascii="Times New Roman" w:cs="Times New Roman" w:eastAsia="Times New Roman" w:hAnsi="Times New Roman"/>
          <w:sz w:val="18"/>
          <w:szCs w:val="18"/>
          <w:color w:val="auto"/>
        </w:rPr>
        <w:t>” means a Revolving Borrowing</w:t>
      </w:r>
      <w:r>
        <w:rPr>
          <w:rFonts w:ascii="Times New Roman" w:cs="Times New Roman" w:eastAsia="Times New Roman" w:hAnsi="Times New Roman"/>
          <w:sz w:val="18"/>
          <w:szCs w:val="18"/>
          <w:color w:val="FF0000"/>
          <w:strike w:val="1"/>
        </w:rPr>
        <w:t>, a Swingline Borrowing</w:t>
      </w:r>
      <w:r>
        <w:rPr>
          <w:rFonts w:ascii="Times New Roman" w:cs="Times New Roman" w:eastAsia="Times New Roman" w:hAnsi="Times New Roman"/>
          <w:sz w:val="18"/>
          <w:szCs w:val="18"/>
          <w:color w:val="auto"/>
        </w:rPr>
        <w:t xml:space="preserve"> or a Term Borrowing, as the context may require.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 and, in the case of a Business Day which relates to a Term SOFR Loan, a U.S. Government Securities Business Day.</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Capital Expenditures</w:t>
      </w:r>
      <w:r>
        <w:rPr>
          <w:rFonts w:ascii="Times New Roman" w:cs="Times New Roman" w:eastAsia="Times New Roman" w:hAnsi="Times New Roman"/>
          <w:sz w:val="18"/>
          <w:szCs w:val="18"/>
          <w:color w:val="auto"/>
        </w:rPr>
        <w:t xml:space="preserve">” means, for any period, with respect to the Borrower or any Guarantor, the aggregate of all expenditures by the Borrower or any Guarantor for the purchase or other acquisition of any asset which would be classified as a fixed or capital asset on a consolidated balance sheet of the Borrower and its Subsidiaries prepared in accordance with GAAP,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 the term “Capital Expenditures” shall not include expenditures that are Permitted Acquisitions and (ii) the purchase price of equipment that is purchased simultaneously with the trade-in of existing equipment or with insurance proceeds shall be included in Capital Expenditures only to the extent of the gross amount by which such purchase price exceeds the credit granted by the seller of such equipment for the equipment being traded in at such time or the amount of such insurance proceeds, as the case may be.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(but excluding for the avoidance of doubt, any “operating lease”)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Capped Non-Cash Charges</w:t>
      </w:r>
      <w:r>
        <w:rPr>
          <w:rFonts w:ascii="Times New Roman" w:cs="Times New Roman" w:eastAsia="Times New Roman" w:hAnsi="Times New Roman"/>
          <w:sz w:val="18"/>
          <w:szCs w:val="18"/>
          <w:u w:val="single" w:color="auto"/>
          <w:color w:val="0000FF"/>
        </w:rPr>
        <w:t>” means, for any period, with respect to the Borrower and its Restricted Subsidiaries, (i) out-of-period balance sheet reserve adjustments (e.g., accounts receivable, inventory, litigation, and Environmental Liability) and (ii) other non-cash charges as approved by the Administrative Agent in writing; provided, that, Capped Non-Cash Charges shall not exceed the following amounts for each applicable Measurement Period: (a) $200,000 for the fiscal quarter ending March 31, 2026; (b) $700,000 for the fiscal quarter ending June 30, 2026; (c) $1,000,000 for the fiscal quarter ending September 30, 2026; (d) $1,000,000 for the fiscal quarter ending December 31, 2026; (e) $1,200,000 for the fiscal quarter ending March 31, 2027 and (f) $1,400,000 for the fiscal quarter ending June 30, 2027.</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 w:name="page30"/>
    <w:bookmarkEnd w:id="2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Cash Collateralize</w:t>
      </w:r>
      <w:r>
        <w:rPr>
          <w:rFonts w:ascii="Times New Roman" w:cs="Times New Roman" w:eastAsia="Times New Roman" w:hAnsi="Times New Roman"/>
          <w:sz w:val="18"/>
          <w:szCs w:val="18"/>
          <w:color w:val="auto"/>
        </w:rPr>
        <w:t xml:space="preserve">” means to deposit in a Controlled Account or pledge and deposit with or deliver to the Administrative Agent, for the benefit of one or more of the L/C Issuer or </w:t>
      </w:r>
      <w:r>
        <w:rPr>
          <w:rFonts w:ascii="Times New Roman" w:cs="Times New Roman" w:eastAsia="Times New Roman" w:hAnsi="Times New Roman"/>
          <w:sz w:val="18"/>
          <w:szCs w:val="18"/>
          <w:color w:val="FF0000"/>
          <w:strike w:val="1"/>
        </w:rPr>
        <w:t>Swingline Lender (as applicable) or</w:t>
      </w:r>
      <w:r>
        <w:rPr>
          <w:rFonts w:ascii="Times New Roman" w:cs="Times New Roman" w:eastAsia="Times New Roman" w:hAnsi="Times New Roman"/>
          <w:sz w:val="18"/>
          <w:szCs w:val="18"/>
          <w:color w:val="auto"/>
        </w:rPr>
        <w:t xml:space="preserve"> the Lenders, as Collateral for L/C Obligations</w:t>
      </w:r>
      <w:r>
        <w:rPr>
          <w:rFonts w:ascii="Times New Roman" w:cs="Times New Roman" w:eastAsia="Times New Roman" w:hAnsi="Times New Roman"/>
          <w:sz w:val="18"/>
          <w:szCs w:val="18"/>
          <w:color w:val="FF0000"/>
          <w:strike w:val="1"/>
        </w:rPr>
        <w:t>, the Obligations in respect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Swingline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obligations of the Revolving Lenders to fund participations in respect of L/C Obligations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or Swingline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(as the context may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require)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(a) cash or deposit account balances, (b) backstop letters of credit entered into on terms, from issuers and in amounts satisfactory to the Administrative Agent and the applicable L/C Issuer, and/or (c) if the Administrative Agent and the applicable L/C Issuer </w:t>
      </w:r>
      <w:r>
        <w:rPr>
          <w:rFonts w:ascii="Times New Roman" w:cs="Times New Roman" w:eastAsia="Times New Roman" w:hAnsi="Times New Roman"/>
          <w:sz w:val="18"/>
          <w:szCs w:val="18"/>
          <w:color w:val="FF0000"/>
          <w:strike w:val="1"/>
        </w:rPr>
        <w:t>or Swingline Lender</w:t>
      </w:r>
      <w:r>
        <w:rPr>
          <w:rFonts w:ascii="Times New Roman" w:cs="Times New Roman" w:eastAsia="Times New Roman" w:hAnsi="Times New Roman"/>
          <w:sz w:val="18"/>
          <w:szCs w:val="18"/>
          <w:color w:val="000000"/>
        </w:rPr>
        <w:t xml:space="preserve"> shall agree, in their sole discretion, other credit support, in each case, in Dollars and pursuant to documentation in form and substance satisfactory to the Administrative Agent and the L/C Issuer </w:t>
      </w:r>
      <w:r>
        <w:rPr>
          <w:rFonts w:ascii="Times New Roman" w:cs="Times New Roman" w:eastAsia="Times New Roman" w:hAnsi="Times New Roman"/>
          <w:sz w:val="18"/>
          <w:szCs w:val="18"/>
          <w:color w:val="FF0000"/>
        </w:rPr>
        <w:t>or the Swingline Lender (as applicable)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-85090</wp:posOffset>
            </wp:positionV>
            <wp:extent cx="18338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33880" cy="8255"/>
                    </a:xfrm>
                    <a:prstGeom prst="rect">
                      <a:avLst/>
                    </a:prstGeom>
                    <a:noFill/>
                  </pic:spPr>
                </pic:pic>
              </a:graphicData>
            </a:graphic>
          </wp:anchor>
        </w:drawing>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Cash Equivalents</w:t>
      </w:r>
      <w:r>
        <w:rPr>
          <w:rFonts w:ascii="Times New Roman" w:cs="Times New Roman" w:eastAsia="Times New Roman" w:hAnsi="Times New Roman"/>
          <w:sz w:val="18"/>
          <w:szCs w:val="18"/>
          <w:color w:val="auto"/>
        </w:rPr>
        <w:t>” means any of the following types of Investments:</w:t>
      </w:r>
    </w:p>
    <w:p>
      <w:pPr>
        <w:spacing w:after="0" w:line="227" w:lineRule="exact"/>
        <w:rPr>
          <w:sz w:val="20"/>
          <w:szCs w:val="20"/>
          <w:color w:val="auto"/>
        </w:rPr>
      </w:pPr>
    </w:p>
    <w:p>
      <w:pPr>
        <w:jc w:val="both"/>
        <w:ind w:left="130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readily marketable obligations issued or directly and fully guaranteed or insured by the United States or any agency or instrumentality thereof having maturities of not more than one year from the date of acquisition thereof;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full faith and credit of the United States is pledged in support thereof;</w:t>
      </w:r>
    </w:p>
    <w:p>
      <w:pPr>
        <w:spacing w:after="0" w:line="176"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of this definition and (iii) has combined capital and surplus of at least $500,000,000, in each case with maturities of not more than one year from the date of acquisition thereof (each such commercial bank, an “</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(iii)          commercial paper and variable of fixed rate notes issued by any Approved Bank (or by the parent company thereof) or any variable rate notes issued by, or guaranteed by, any domestic corporation rated A-1 (or the equivalent thereof) or better by S&amp;P or P-1 (or the equivalent thereof) or better by Moody’s and maturing within two hundred seventy (270) days of the date of acquisition thereof;</w:t>
      </w:r>
    </w:p>
    <w:p>
      <w:pPr>
        <w:spacing w:after="0" w:line="176"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(iv)         repurchase obligations of any commercial bank satisfying the requirements of clause (b) above or of any recognized securities dealer having combined capital and surplus of not less than $250,000,000, having a term of not more than seven (7) days, with respect to securities satisfying the criteria in clauses (i) or (ii) above;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(v)          debt securities with maturities of six (6) months or less from the date of acquisition backed by standby letters of credit issued by any commercial bank satisfying the criteria described in clause (ii) above;</w:t>
      </w:r>
    </w:p>
    <w:p>
      <w:pPr>
        <w:spacing w:after="0" w:line="162"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(vi)         Investments in money market funds or money market mutual funds substantially all of whose assets are invested in the types of assets described in clauses (i) through (iii) above; and</w:t>
      </w:r>
    </w:p>
    <w:p>
      <w:pPr>
        <w:spacing w:after="0" w:line="162" w:lineRule="exact"/>
        <w:rPr>
          <w:sz w:val="20"/>
          <w:szCs w:val="20"/>
          <w:color w:val="auto"/>
        </w:rPr>
      </w:pPr>
    </w:p>
    <w:p>
      <w:pPr>
        <w:ind w:left="1300" w:right="120" w:firstLine="648"/>
        <w:spacing w:after="0" w:line="266" w:lineRule="auto"/>
        <w:rPr>
          <w:sz w:val="20"/>
          <w:szCs w:val="20"/>
          <w:color w:val="auto"/>
        </w:rPr>
      </w:pPr>
      <w:r>
        <w:rPr>
          <w:rFonts w:ascii="Times New Roman" w:cs="Times New Roman" w:eastAsia="Times New Roman" w:hAnsi="Times New Roman"/>
          <w:sz w:val="18"/>
          <w:szCs w:val="18"/>
          <w:color w:val="auto"/>
        </w:rPr>
        <w:t>(vii)        in the case of a Foreign Subsidiary, substantially similar investments of the type described above denominated in foreign currencies and from governments or agencies and instrumentalities thereof, similarly rated political subdivisions thereof or similarly capitalized and rated foreign banks, in each case, in the jurisdiction in which such Foreign Subsidiary is organized.</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Cash Management Agreement</w:t>
      </w:r>
      <w:r>
        <w:rPr>
          <w:rFonts w:ascii="Times New Roman" w:cs="Times New Roman" w:eastAsia="Times New Roman" w:hAnsi="Times New Roman"/>
          <w:sz w:val="18"/>
          <w:szCs w:val="18"/>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Cash Management Bank</w:t>
      </w:r>
      <w:r>
        <w:rPr>
          <w:rFonts w:ascii="Times New Roman" w:cs="Times New Roman" w:eastAsia="Times New Roman" w:hAnsi="Times New Roman"/>
          <w:sz w:val="18"/>
          <w:szCs w:val="18"/>
          <w:color w:val="auto"/>
        </w:rPr>
        <w:t xml:space="preserve">” 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Change in Law</w:t>
      </w:r>
      <w:r>
        <w:rPr>
          <w:rFonts w:ascii="Times New Roman" w:cs="Times New Roman" w:eastAsia="Times New Roman" w:hAnsi="Times New Roman"/>
          <w:sz w:val="18"/>
          <w:szCs w:val="18"/>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Change of Control</w:t>
      </w:r>
      <w:r>
        <w:rPr>
          <w:rFonts w:ascii="Times New Roman" w:cs="Times New Roman" w:eastAsia="Times New Roman" w:hAnsi="Times New Roman"/>
          <w:sz w:val="18"/>
          <w:szCs w:val="18"/>
          <w:color w:val="auto"/>
        </w:rPr>
        <w:t>” means and shall be deemed to have occurred if (a) the Permitted Holders shall at any time not legally and beneficially own, in the aggregate, directly or indirectly, at least 35% of the voting power of the outstanding Voting Stock of the Borrower, or (b) any person, entity or “group” (within the meaning of Section 13(d) or 14(d) of the Securities Exchange Act of 1934, as amended), other than the Permitted Holders, shall at any time have acquired direct or indirect beneficial ownership of a percentage of the voting power of the outstanding Voting Stock of the Borrower that exceeds 35% thereof, unless, in the case of either clause (a) or (b) above, the Permitted Holders have, at such time, the right or the ability by voting power, contract or otherwise to elect or designate for election at least a majority of the board of directors of the Borrower.</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84"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Chicago Facility</w:t>
      </w:r>
      <w:r>
        <w:rPr>
          <w:rFonts w:ascii="Times New Roman" w:cs="Times New Roman" w:eastAsia="Times New Roman" w:hAnsi="Times New Roman"/>
          <w:sz w:val="18"/>
          <w:szCs w:val="18"/>
          <w:u w:val="single" w:color="auto"/>
          <w:color w:val="0000FF"/>
        </w:rPr>
        <w:t>” means the approximately 25.68 acres of vacant land located in the NE Quadrant of E. 100th St. and S. Torrance Ave. and the SW Corner of E. 100th St. and Escanaba Ave, Chicago, Illinois.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 or Term Loans and, when used in reference to any Commitment, refers to whether such Commitment is a Revolving Commitment or Term Commitment.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Closing Date</w:t>
      </w:r>
      <w:r>
        <w:rPr>
          <w:rFonts w:ascii="Times New Roman" w:cs="Times New Roman" w:eastAsia="Times New Roman" w:hAnsi="Times New Roman"/>
          <w:sz w:val="18"/>
          <w:szCs w:val="18"/>
          <w:color w:val="auto"/>
        </w:rPr>
        <w:t>” means the date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CME</w:t>
      </w:r>
      <w:r>
        <w:rPr>
          <w:rFonts w:ascii="Times New Roman" w:cs="Times New Roman" w:eastAsia="Times New Roman" w:hAnsi="Times New Roman"/>
          <w:sz w:val="18"/>
          <w:szCs w:val="18"/>
          <w:color w:val="auto"/>
        </w:rPr>
        <w:t>” means CME Group Benchmark Administration Limited. “</w:t>
      </w:r>
      <w:r>
        <w:rPr>
          <w:rFonts w:ascii="Times New Roman" w:cs="Times New Roman" w:eastAsia="Times New Roman" w:hAnsi="Times New Roman"/>
          <w:sz w:val="18"/>
          <w:szCs w:val="18"/>
          <w:i w:val="1"/>
          <w:iCs w:val="1"/>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Collateral</w:t>
      </w:r>
      <w:r>
        <w:rPr>
          <w:rFonts w:ascii="Times New Roman" w:cs="Times New Roman" w:eastAsia="Times New Roman" w:hAnsi="Times New Roman"/>
          <w:sz w:val="18"/>
          <w:szCs w:val="18"/>
          <w:color w:val="auto"/>
        </w:rPr>
        <w:t>” means all of the “Collateral” referred to in the Collateral Documents and all other property with respect to which Liens in favor of the Administrative Agent for the benefit of the Secured Parties are purported to be granted to and in accordance with the Collateral Documents.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Collateral Account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2.03(q)(i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Collateral Documents</w:t>
      </w:r>
      <w:r>
        <w:rPr>
          <w:rFonts w:ascii="Times New Roman" w:cs="Times New Roman" w:eastAsia="Times New Roman" w:hAnsi="Times New Roman"/>
          <w:sz w:val="18"/>
          <w:szCs w:val="18"/>
          <w:color w:val="auto"/>
        </w:rPr>
        <w:t xml:space="preserve">” means, collectively, the Security Agreement, the Qualifying Control Agreements, each Joinder Agreement, the Intercompany Note, each of the collateral assignments, security agreements, pledge agreements, account control agreements or other similar agreements delivered to the Administrative Agent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 each of the other agreements, instruments or documents that creates or purports to create a Lien in favor of the Administrative Agent for the benefit of the Secured Parties.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Commitment</w:t>
      </w:r>
      <w:r>
        <w:rPr>
          <w:rFonts w:ascii="Times New Roman" w:cs="Times New Roman" w:eastAsia="Times New Roman" w:hAnsi="Times New Roman"/>
          <w:sz w:val="18"/>
          <w:szCs w:val="18"/>
          <w:color w:val="auto"/>
        </w:rPr>
        <w:t>” means a Term Commitment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a Revolving Commitment </w:t>
      </w:r>
      <w:r>
        <w:rPr>
          <w:rFonts w:ascii="Times New Roman" w:cs="Times New Roman" w:eastAsia="Times New Roman" w:hAnsi="Times New Roman"/>
          <w:sz w:val="18"/>
          <w:szCs w:val="18"/>
          <w:color w:val="FF0000"/>
        </w:rPr>
        <w:t>or an Incremental Commitment, as the context may require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-57785</wp:posOffset>
            </wp:positionV>
            <wp:extent cx="27285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2859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 and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Communication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Competitor</w:t>
      </w:r>
      <w:r>
        <w:rPr>
          <w:rFonts w:ascii="Times New Roman" w:cs="Times New Roman" w:eastAsia="Times New Roman" w:hAnsi="Times New Roman"/>
          <w:sz w:val="18"/>
          <w:szCs w:val="18"/>
          <w:color w:val="auto"/>
        </w:rPr>
        <w:t>” means any Person that is a competitor of the Borrower or any of its Restricted Subsidiaries engaged in substantially similar business operations as Borrower or any of its Restricted Subsidiaries, or any business activity that is related, ancillary or complementary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8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8"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Consolidated</w:t>
      </w:r>
      <w:r>
        <w:rPr>
          <w:rFonts w:ascii="Times New Roman" w:cs="Times New Roman" w:eastAsia="Times New Roman" w:hAnsi="Times New Roman"/>
          <w:sz w:val="18"/>
          <w:szCs w:val="18"/>
          <w:color w:val="auto"/>
        </w:rPr>
        <w:t>” means, when used with reference to financial statements or financial statement items of the Borrower and its Restricted Subsidiaries or any other Person, such statements or items on a consolidated basis in accordance with the consolidation principles of GAAP, but excluding any items attributable to Unrestricted Subsidiaries.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Consolidated EBITDA</w:t>
      </w:r>
      <w:r>
        <w:rPr>
          <w:rFonts w:ascii="Times New Roman" w:cs="Times New Roman" w:eastAsia="Times New Roman" w:hAnsi="Times New Roman"/>
          <w:sz w:val="18"/>
          <w:szCs w:val="18"/>
          <w:color w:val="auto"/>
        </w:rPr>
        <w:t xml:space="preserve">” means, for any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auto"/>
        </w:rPr>
        <w:t xml:space="preserve"> period, the sum of:</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Consolidated Net Income for such </w:t>
      </w:r>
      <w:r>
        <w:rPr>
          <w:rFonts w:ascii="Times New Roman" w:cs="Times New Roman" w:eastAsia="Times New Roman" w:hAnsi="Times New Roman"/>
          <w:sz w:val="18"/>
          <w:szCs w:val="18"/>
          <w:color w:val="FF0000"/>
          <w:strike w:val="1"/>
        </w:rPr>
        <w:t>Measurement Period</w:t>
      </w:r>
      <w:r>
        <w:rPr>
          <w:rFonts w:ascii="Times New Roman" w:cs="Times New Roman" w:eastAsia="Times New Roman" w:hAnsi="Times New Roman"/>
          <w:sz w:val="18"/>
          <w:szCs w:val="18"/>
          <w:u w:val="single" w:color="auto"/>
          <w:color w:val="0000FF"/>
        </w:rPr>
        <w:t>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without duplication and to the extent deducted (and not already added back) (other than with respect to clauses (ix) below) in determining such Consolidated Net Income, the sum 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Consolidated Net Interest Expense for such </w:t>
      </w:r>
      <w:r>
        <w:rPr>
          <w:rFonts w:ascii="Times New Roman" w:cs="Times New Roman" w:eastAsia="Times New Roman" w:hAnsi="Times New Roman"/>
          <w:sz w:val="18"/>
          <w:szCs w:val="18"/>
          <w:color w:val="FF0000"/>
          <w:strike w:val="1"/>
        </w:rPr>
        <w:t>Measurement Period</w:t>
      </w:r>
      <w:r>
        <w:rPr>
          <w:rFonts w:ascii="Times New Roman" w:cs="Times New Roman" w:eastAsia="Times New Roman" w:hAnsi="Times New Roman"/>
          <w:sz w:val="18"/>
          <w:szCs w:val="18"/>
          <w:u w:val="single" w:color="auto"/>
          <w:color w:val="0000FF"/>
        </w:rPr>
        <w:t>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all amounts for taxes based on income, profits or capital and commercial activity payments to taxing authorities (or in each case similar taxes or payments), including income tax expense of Consolidated foreign subsidiaries and foreign withholding tax expense, for such </w:t>
      </w:r>
      <w:r>
        <w:rPr>
          <w:rFonts w:ascii="Times New Roman" w:cs="Times New Roman" w:eastAsia="Times New Roman" w:hAnsi="Times New Roman"/>
          <w:sz w:val="18"/>
          <w:szCs w:val="18"/>
          <w:color w:val="FF0000"/>
          <w:strike w:val="1"/>
        </w:rPr>
        <w:t>Measurement Period</w:t>
      </w:r>
      <w:r>
        <w:rPr>
          <w:rFonts w:ascii="Times New Roman" w:cs="Times New Roman" w:eastAsia="Times New Roman" w:hAnsi="Times New Roman"/>
          <w:sz w:val="18"/>
          <w:szCs w:val="18"/>
          <w:u w:val="single" w:color="auto"/>
          <w:color w:val="0000FF"/>
        </w:rPr>
        <w:t>period</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(iii)          all amounts attributable to depreciation and amortization for such </w:t>
      </w:r>
      <w:r>
        <w:rPr>
          <w:rFonts w:ascii="Times New Roman" w:cs="Times New Roman" w:eastAsia="Times New Roman" w:hAnsi="Times New Roman"/>
          <w:sz w:val="18"/>
          <w:szCs w:val="18"/>
          <w:color w:val="FF0000"/>
          <w:strike w:val="1"/>
        </w:rPr>
        <w:t>Measurement Period</w:t>
      </w:r>
      <w:r>
        <w:rPr>
          <w:rFonts w:ascii="Times New Roman" w:cs="Times New Roman" w:eastAsia="Times New Roman" w:hAnsi="Times New Roman"/>
          <w:sz w:val="18"/>
          <w:szCs w:val="18"/>
          <w:u w:val="single" w:color="auto"/>
          <w:color w:val="0000FF"/>
        </w:rPr>
        <w:t>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320" w:firstLine="648"/>
        <w:spacing w:after="0" w:line="282" w:lineRule="auto"/>
        <w:rPr>
          <w:sz w:val="20"/>
          <w:szCs w:val="20"/>
          <w:color w:val="auto"/>
        </w:rPr>
      </w:pPr>
      <w:r>
        <w:rPr>
          <w:rFonts w:ascii="Times New Roman" w:cs="Times New Roman" w:eastAsia="Times New Roman" w:hAnsi="Times New Roman"/>
          <w:sz w:val="18"/>
          <w:szCs w:val="18"/>
          <w:color w:val="FF0000"/>
        </w:rPr>
        <w:t>(iv)        </w:t>
      </w:r>
      <w:r>
        <w:rPr>
          <w:rFonts w:ascii="Times New Roman" w:cs="Times New Roman" w:eastAsia="Times New Roman" w:hAnsi="Times New Roman"/>
          <w:sz w:val="18"/>
          <w:szCs w:val="18"/>
          <w:color w:val="FF0000"/>
          <w:strike w:val="1"/>
        </w:rPr>
        <w:t>  any non-cash charges (including, but not limited to, the write down or impairment of any assets, whether or not current assets),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losses or expenses for such period,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v</w:t>
      </w: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auto"/>
        </w:rPr>
        <w:t>)       any non-cash compensation charges and deferred compensation charges, including arising from stock options,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vi</w:t>
      </w:r>
      <w:r>
        <w:rPr>
          <w:rFonts w:ascii="Times New Roman" w:cs="Times New Roman" w:eastAsia="Times New Roman" w:hAnsi="Times New Roman"/>
          <w:sz w:val="18"/>
          <w:szCs w:val="18"/>
          <w:u w:val="single" w:color="auto"/>
          <w:color w:val="0000FF"/>
        </w:rPr>
        <w:t>v</w:t>
      </w:r>
      <w:r>
        <w:rPr>
          <w:rFonts w:ascii="Times New Roman" w:cs="Times New Roman" w:eastAsia="Times New Roman" w:hAnsi="Times New Roman"/>
          <w:sz w:val="18"/>
          <w:szCs w:val="18"/>
          <w:color w:val="auto"/>
        </w:rPr>
        <w:t xml:space="preserve">)       any pension expense in respect of defined benefit plans </w:t>
      </w:r>
      <w:r>
        <w:rPr>
          <w:rFonts w:ascii="Times New Roman" w:cs="Times New Roman" w:eastAsia="Times New Roman" w:hAnsi="Times New Roman"/>
          <w:sz w:val="18"/>
          <w:szCs w:val="18"/>
          <w:u w:val="single" w:color="auto"/>
          <w:color w:val="0000FF"/>
        </w:rPr>
        <w:t>(including any cash pension expense with respect to a terminated plan)</w:t>
      </w:r>
      <w:r>
        <w:rPr>
          <w:rFonts w:ascii="Times New Roman" w:cs="Times New Roman" w:eastAsia="Times New Roman" w:hAnsi="Times New Roman"/>
          <w:sz w:val="18"/>
          <w:szCs w:val="18"/>
          <w:color w:val="auto"/>
        </w:rPr>
        <w:t xml:space="preserve"> in an aggregate amount not to exceed $3,000,000 in any fiscal year,</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FF0000"/>
          <w:strike w:val="1"/>
        </w:rPr>
        <w:t>(vii) </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severance expenses related to the termination of employees and other restructuring, integration and relocation charges and costs;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u w:val="single" w:color="auto"/>
          <w:color w:val="FF0000"/>
          <w:strike w:val="1"/>
        </w:rPr>
        <w:t>provided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 xml:space="preserve"> however</w:t>
      </w:r>
      <w:r>
        <w:rPr>
          <w:rFonts w:ascii="Times New Roman" w:cs="Times New Roman" w:eastAsia="Times New Roman" w:hAnsi="Times New Roman"/>
          <w:sz w:val="18"/>
          <w:szCs w:val="18"/>
          <w:color w:val="FF0000"/>
          <w:strike w:val="1"/>
        </w:rPr>
        <w:t>, that, in no event shall the aggregate amount added back to Consolidated EBITDA under this clause (vii) for any Measurement</w:t>
      </w:r>
      <w:r>
        <w:rPr>
          <w:rFonts w:ascii="Times New Roman" w:cs="Times New Roman" w:eastAsia="Times New Roman" w:hAnsi="Times New Roman"/>
          <w:sz w:val="18"/>
          <w:szCs w:val="18"/>
          <w:i w:val="1"/>
          <w:iCs w:val="1"/>
          <w:u w:val="single" w:color="auto"/>
          <w:color w:val="FF0000"/>
          <w:strike w:val="1"/>
        </w:rPr>
        <w:t xml:space="preserve"> </w:t>
      </w:r>
      <w:r>
        <w:rPr>
          <w:rFonts w:ascii="Times New Roman" w:cs="Times New Roman" w:eastAsia="Times New Roman" w:hAnsi="Times New Roman"/>
          <w:sz w:val="18"/>
          <w:szCs w:val="18"/>
          <w:color w:val="FF0000"/>
          <w:strike w:val="1"/>
        </w:rPr>
        <w:t>Period, together with any increase to Consolidated EBITDA for such Measurement Period under clause (y) of the definition of “Pro Forma Basis”, exceed 20% of Consolidated EBITDA for such period (giving Pro Forma Effect to all such relevant adjustments during such Measurement Period),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8"/>
          <w:szCs w:val="18"/>
          <w:u w:val="single" w:color="auto"/>
          <w:color w:val="0000FF"/>
        </w:rPr>
        <w:t>(vi)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Capped Non-Cash Charges for such period subject to the limitations set forth in the definition of such term,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(vii)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Non-Capped Non-Cash Charges for such period,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(viii)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color w:val="FF0000"/>
          <w:strike w:val="1"/>
        </w:rPr>
        <w:t>costs and expenses incurred in connection with the</w:t>
      </w:r>
      <w:r>
        <w:rPr>
          <w:rFonts w:ascii="Times New Roman" w:cs="Times New Roman" w:eastAsia="Times New Roman" w:hAnsi="Times New Roman"/>
          <w:sz w:val="18"/>
          <w:szCs w:val="18"/>
          <w:u w:val="single" w:color="auto"/>
          <w:color w:val="0000FF"/>
        </w:rPr>
        <w:t>realized total loss or gain on foreign exchange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transactions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on the Closing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and any Permitted Acquisitions</w:t>
      </w:r>
      <w:r>
        <w:rPr>
          <w:rFonts w:ascii="Times New Roman" w:cs="Times New Roman" w:eastAsia="Times New Roman" w:hAnsi="Times New Roman"/>
          <w:sz w:val="18"/>
          <w:szCs w:val="18"/>
          <w:u w:val="single" w:color="auto"/>
          <w:color w:val="0000FF"/>
        </w:rPr>
        <w:t>that were incurred solely for purposes of compliance with Section 7.11(d)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u w:val="single" w:color="auto"/>
          <w:color w:val="000000"/>
        </w:rPr>
        <w:t>however</w:t>
      </w:r>
      <w:r>
        <w:rPr>
          <w:rFonts w:ascii="Times New Roman" w:cs="Times New Roman" w:eastAsia="Times New Roman" w:hAnsi="Times New Roman"/>
          <w:sz w:val="18"/>
          <w:szCs w:val="18"/>
          <w:color w:val="000000"/>
        </w:rPr>
        <w:t>, that</w:t>
      </w:r>
      <w:r>
        <w:rPr>
          <w:rFonts w:ascii="Times New Roman" w:cs="Times New Roman" w:eastAsia="Times New Roman" w:hAnsi="Times New Roman"/>
          <w:sz w:val="18"/>
          <w:szCs w:val="18"/>
          <w:color w:val="FF0000"/>
          <w:strike w:val="1"/>
        </w:rPr>
        <w:t>, in the case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any Permitted Acquisition which is not consummated,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no event shall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aggregate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amount added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back</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to Consolidated EBITDA under this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clause (</w:t>
      </w:r>
      <w:r>
        <w:rPr>
          <w:rFonts w:ascii="Times New Roman" w:cs="Times New Roman" w:eastAsia="Times New Roman" w:hAnsi="Times New Roman"/>
          <w:sz w:val="18"/>
          <w:szCs w:val="18"/>
          <w:color w:val="FF0000"/>
          <w:strike w:val="1"/>
        </w:rPr>
        <w:t>viii) for any Measurement Period</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000000"/>
        </w:rPr>
        <w:t xml:space="preserve"> exceed $</w:t>
      </w:r>
      <w:r>
        <w:rPr>
          <w:rFonts w:ascii="Times New Roman" w:cs="Times New Roman" w:eastAsia="Times New Roman" w:hAnsi="Times New Roman"/>
          <w:sz w:val="18"/>
          <w:szCs w:val="18"/>
          <w:color w:val="FF0000"/>
          <w:strike w:val="1"/>
        </w:rPr>
        <w:t>3,000,000</w:t>
      </w:r>
      <w:r>
        <w:rPr>
          <w:rFonts w:ascii="Times New Roman" w:cs="Times New Roman" w:eastAsia="Times New Roman" w:hAnsi="Times New Roman"/>
          <w:sz w:val="18"/>
          <w:szCs w:val="18"/>
          <w:u w:val="single" w:color="auto"/>
          <w:color w:val="0000FF"/>
        </w:rPr>
        <w:t>1,500,000 for any fiscal quarter</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FF0000"/>
        </w:rPr>
        <w:t>(ix)</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to the extent (A) actually reimbursed in cash from insurance proceeds or (B) as to which the Borrower has made a determination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that a reasonable basis exists for reimbursement by a third party and only to the extent that such amount (i) is not denied by the applicable carrier in writing within 180 days of the occurrence of such event and (ii) is in fact reimbursed within 365 days of such determination (with a deduction in the applicable future period for any amount so added back to the extent not so reimbursed within such 365-day period), expenses with respect to any business interruption, liability or casualty,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u w:val="single" w:color="auto"/>
          <w:color w:val="0000FF"/>
        </w:rPr>
        <w:t>ix</w:t>
      </w:r>
      <w:r>
        <w:rPr>
          <w:rFonts w:ascii="Times New Roman" w:cs="Times New Roman" w:eastAsia="Times New Roman" w:hAnsi="Times New Roman"/>
          <w:sz w:val="18"/>
          <w:szCs w:val="18"/>
          <w:color w:val="auto"/>
        </w:rPr>
        <w:t xml:space="preserve">)         any net unrealized non-cash foreign currency </w:t>
      </w:r>
      <w:r>
        <w:rPr>
          <w:rFonts w:ascii="Times New Roman" w:cs="Times New Roman" w:eastAsia="Times New Roman" w:hAnsi="Times New Roman"/>
          <w:sz w:val="18"/>
          <w:szCs w:val="18"/>
          <w:color w:val="FF0000"/>
          <w:strike w:val="1"/>
        </w:rPr>
        <w:t>translation</w:t>
      </w:r>
      <w:r>
        <w:rPr>
          <w:rFonts w:ascii="Times New Roman" w:cs="Times New Roman" w:eastAsia="Times New Roman" w:hAnsi="Times New Roman"/>
          <w:sz w:val="18"/>
          <w:szCs w:val="18"/>
          <w:color w:val="auto"/>
        </w:rPr>
        <w:t xml:space="preserve"> loss (or minus net unrealized non-cash foreign currency </w:t>
      </w:r>
      <w:r>
        <w:rPr>
          <w:rFonts w:ascii="Times New Roman" w:cs="Times New Roman" w:eastAsia="Times New Roman" w:hAnsi="Times New Roman"/>
          <w:sz w:val="18"/>
          <w:szCs w:val="18"/>
          <w:color w:val="FF0000"/>
          <w:strike w:val="1"/>
        </w:rPr>
        <w:t>translation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unbudgeted restructuring costs incurred in fiscal year 2026 related to the closing of the Osceola Facility;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u w:val="single" w:color="auto"/>
          <w:color w:val="0000FF"/>
        </w:rPr>
        <w:t>however</w:t>
      </w:r>
      <w:r>
        <w:rPr>
          <w:rFonts w:ascii="Times New Roman" w:cs="Times New Roman" w:eastAsia="Times New Roman" w:hAnsi="Times New Roman"/>
          <w:sz w:val="18"/>
          <w:szCs w:val="18"/>
          <w:u w:val="single" w:color="auto"/>
          <w:color w:val="0000FF"/>
        </w:rPr>
        <w:t>, that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 event shall the aggregate amount added back to Consolidated EBITDA under this clause (xi) exceed $400,000,</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(xi)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fees, costs and expenses incurred in connection with the Seventh Amendment and/or the Enzon Merger (including the fees, costs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 expenses of any consultant in connection with an appraisal provided after the Seventh Amendment Effective Date), and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(xii)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[reserved],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FF0000"/>
          <w:strike w:val="1"/>
        </w:rPr>
        <w:t xml:space="preserve">(xi)          for the period commencing on April 1, 2025 and ending on March 31, 2026, the cash proceeds received by the Borrower in respect of the March 2025 Equity Issuance; </w:t>
      </w:r>
      <w:r>
        <w:rPr>
          <w:rFonts w:ascii="Times New Roman" w:cs="Times New Roman" w:eastAsia="Times New Roman" w:hAnsi="Times New Roman"/>
          <w:sz w:val="18"/>
          <w:szCs w:val="18"/>
          <w:i w:val="1"/>
          <w:iCs w:val="1"/>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however</w:t>
      </w:r>
      <w:r>
        <w:rPr>
          <w:rFonts w:ascii="Times New Roman" w:cs="Times New Roman" w:eastAsia="Times New Roman" w:hAnsi="Times New Roman"/>
          <w:sz w:val="18"/>
          <w:szCs w:val="18"/>
          <w:color w:val="FF0000"/>
          <w:strike w:val="1"/>
        </w:rPr>
        <w:t xml:space="preserve">, that (i) in no event shall the aggregate amount added back to Consolidated EBITDA under this clause (xi) exceed $15,000,000 and (ii) the March 2025 Equity Issuance will be included in Consolidated EBITDA solely for purposes of calculating (x) the financial covenants set forth in </w:t>
      </w:r>
      <w:r>
        <w:rPr>
          <w:rFonts w:ascii="Times New Roman" w:cs="Times New Roman" w:eastAsia="Times New Roman" w:hAnsi="Times New Roman"/>
          <w:sz w:val="18"/>
          <w:szCs w:val="18"/>
          <w:u w:val="single" w:color="auto"/>
          <w:color w:val="FF0000"/>
          <w:strike w:val="1"/>
        </w:rPr>
        <w:t>Section 7.11</w:t>
      </w:r>
      <w:r>
        <w:rPr>
          <w:rFonts w:ascii="Times New Roman" w:cs="Times New Roman" w:eastAsia="Times New Roman" w:hAnsi="Times New Roman"/>
          <w:sz w:val="18"/>
          <w:szCs w:val="18"/>
          <w:color w:val="FF0000"/>
          <w:strike w:val="1"/>
        </w:rPr>
        <w:t xml:space="preserve"> and (y) the Applicable Rate, and will be disregarded for purposes of the calculation of Consolidated EBITDA for all other purposes, including calculating basket levels, determining compliance with incurrence based or pro forma calculations or conditions and any other items governed by reference to Consolidated EBITDA; </w:t>
      </w:r>
      <w:r>
        <w:rPr>
          <w:rFonts w:ascii="Times New Roman" w:cs="Times New Roman" w:eastAsia="Times New Roman" w:hAnsi="Times New Roman"/>
          <w:sz w:val="18"/>
          <w:szCs w:val="18"/>
          <w:i w:val="1"/>
          <w:iCs w:val="1"/>
          <w:u w:val="single" w:color="auto"/>
          <w:color w:val="FF0000"/>
          <w:strike w:val="1"/>
        </w:rPr>
        <w:t>provided further</w:t>
      </w:r>
      <w:r>
        <w:rPr>
          <w:rFonts w:ascii="Times New Roman" w:cs="Times New Roman" w:eastAsia="Times New Roman" w:hAnsi="Times New Roman"/>
          <w:sz w:val="18"/>
          <w:szCs w:val="18"/>
          <w:color w:val="FF0000"/>
          <w:strike w:val="1"/>
        </w:rPr>
        <w:t xml:space="preserve"> that no amount shall be added back to Consolidated EBITDA under this clause (xi) for any Measurement Period ending after March 31, 2026,</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FF0000"/>
          <w:strike w:val="1"/>
        </w:rPr>
        <w:t xml:space="preserve">(xii)         for the period commencing on July 1, 2025 and ending on June 30, 2026, the cash proceeds received by the Borrower in respect of the September 2025 Equity Issuance; </w:t>
      </w:r>
      <w:r>
        <w:rPr>
          <w:rFonts w:ascii="Times New Roman" w:cs="Times New Roman" w:eastAsia="Times New Roman" w:hAnsi="Times New Roman"/>
          <w:sz w:val="18"/>
          <w:szCs w:val="18"/>
          <w:i w:val="1"/>
          <w:iCs w:val="1"/>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however</w:t>
      </w:r>
      <w:r>
        <w:rPr>
          <w:rFonts w:ascii="Times New Roman" w:cs="Times New Roman" w:eastAsia="Times New Roman" w:hAnsi="Times New Roman"/>
          <w:sz w:val="18"/>
          <w:szCs w:val="18"/>
          <w:color w:val="FF0000"/>
          <w:strike w:val="1"/>
        </w:rPr>
        <w:t xml:space="preserve">, that (i) in no event shall the aggregate amount added back to Consolidated EBITDA under this clause (xii) exceed $5,000,000 and (ii) the September 2025 Equity Issuance will be included in Consolidated EBITDA solely for purposes of calculating (x) the financial covenants set forth in </w:t>
      </w:r>
      <w:r>
        <w:rPr>
          <w:rFonts w:ascii="Times New Roman" w:cs="Times New Roman" w:eastAsia="Times New Roman" w:hAnsi="Times New Roman"/>
          <w:sz w:val="18"/>
          <w:szCs w:val="18"/>
          <w:u w:val="single" w:color="auto"/>
          <w:color w:val="FF0000"/>
          <w:strike w:val="1"/>
        </w:rPr>
        <w:t>Section 7.11</w:t>
      </w:r>
      <w:r>
        <w:rPr>
          <w:rFonts w:ascii="Times New Roman" w:cs="Times New Roman" w:eastAsia="Times New Roman" w:hAnsi="Times New Roman"/>
          <w:sz w:val="18"/>
          <w:szCs w:val="18"/>
          <w:color w:val="FF0000"/>
          <w:strike w:val="1"/>
        </w:rPr>
        <w:t xml:space="preserve"> and (y) the Applicable Rate, and will be disregarded for purposes of the calculation of Consolidated EBITDA for all other purposes, including calculating basket levels, determining compliance with incurrence based or pro forma calculations or conditions and any other items governed by reference to Consolidated EBITDA; </w:t>
      </w:r>
      <w:r>
        <w:rPr>
          <w:rFonts w:ascii="Times New Roman" w:cs="Times New Roman" w:eastAsia="Times New Roman" w:hAnsi="Times New Roman"/>
          <w:sz w:val="18"/>
          <w:szCs w:val="18"/>
          <w:i w:val="1"/>
          <w:iCs w:val="1"/>
          <w:u w:val="single" w:color="auto"/>
          <w:color w:val="FF0000"/>
          <w:strike w:val="1"/>
        </w:rPr>
        <w:t>provided further</w:t>
      </w:r>
      <w:r>
        <w:rPr>
          <w:rFonts w:ascii="Times New Roman" w:cs="Times New Roman" w:eastAsia="Times New Roman" w:hAnsi="Times New Roman"/>
          <w:sz w:val="18"/>
          <w:szCs w:val="18"/>
          <w:color w:val="FF0000"/>
          <w:strike w:val="1"/>
        </w:rPr>
        <w:t xml:space="preserve"> that no amount shall be added back to Consolidated EBITDA under this clause (xii) for any Measurement Period ending after June 30, 2026, and</w:t>
      </w:r>
    </w:p>
    <w:p>
      <w:pPr>
        <w:spacing w:after="0" w:line="200" w:lineRule="exact"/>
        <w:rPr>
          <w:sz w:val="20"/>
          <w:szCs w:val="20"/>
          <w:color w:val="auto"/>
        </w:rPr>
      </w:pPr>
    </w:p>
    <w:p>
      <w:pPr>
        <w:spacing w:after="0" w:line="20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4" w:name="page35"/>
    <w:bookmarkEnd w:id="34"/>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FF0000"/>
          <w:strike w:val="1"/>
        </w:rPr>
        <w:t>(xiii)        the cash proceeds received by the Borrower from no more than one (1) Equity Issuance (a “</w:t>
      </w:r>
      <w:r>
        <w:rPr>
          <w:rFonts w:ascii="Times New Roman" w:cs="Times New Roman" w:eastAsia="Times New Roman" w:hAnsi="Times New Roman"/>
          <w:sz w:val="18"/>
          <w:szCs w:val="18"/>
          <w:i w:val="1"/>
          <w:iCs w:val="1"/>
          <w:u w:val="single" w:color="auto"/>
          <w:color w:val="FF0000"/>
          <w:strike w:val="1"/>
        </w:rPr>
        <w:t>Specified Equity Issuance</w:t>
      </w:r>
      <w:r>
        <w:rPr>
          <w:rFonts w:ascii="Times New Roman" w:cs="Times New Roman" w:eastAsia="Times New Roman" w:hAnsi="Times New Roman"/>
          <w:sz w:val="18"/>
          <w:szCs w:val="18"/>
          <w:color w:val="FF0000"/>
          <w:strike w:val="1"/>
        </w:rPr>
        <w:t xml:space="preserve">”) consummated after the Fifth Amendment Effective Date; </w:t>
      </w:r>
      <w:r>
        <w:rPr>
          <w:rFonts w:ascii="Times New Roman" w:cs="Times New Roman" w:eastAsia="Times New Roman" w:hAnsi="Times New Roman"/>
          <w:sz w:val="18"/>
          <w:szCs w:val="18"/>
          <w:i w:val="1"/>
          <w:iCs w:val="1"/>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however</w:t>
      </w:r>
      <w:r>
        <w:rPr>
          <w:rFonts w:ascii="Times New Roman" w:cs="Times New Roman" w:eastAsia="Times New Roman" w:hAnsi="Times New Roman"/>
          <w:sz w:val="18"/>
          <w:szCs w:val="18"/>
          <w:color w:val="FF0000"/>
          <w:strike w:val="1"/>
        </w:rPr>
        <w:t>, that (i) in no event shall the aggregate amount added back to Consolidated EBITDA under this clause (xiii) exceed $5,000,000 and (ii) the proceeds of any such Equity Issuance will be included (1) solely to the extent the Borrower shall have provided prior written notice to the Administrative Agent of its intent to consummate a Specified Equity Issuance, which notice shall designate such Equity Issuance as a Specified Equity Issuance and set forth the fiscal quarter in which such Specified Equity Issuance is intended to be consummated, (2) solely for the fiscal quarter in which such Specified Equity Issuance was consummated and the immediately succeeding three fiscal quarters (in respect of any such Specified Equity Issuance, each a “</w:t>
      </w:r>
      <w:r>
        <w:rPr>
          <w:rFonts w:ascii="Times New Roman" w:cs="Times New Roman" w:eastAsia="Times New Roman" w:hAnsi="Times New Roman"/>
          <w:sz w:val="18"/>
          <w:szCs w:val="18"/>
          <w:i w:val="1"/>
          <w:iCs w:val="1"/>
          <w:u w:val="single" w:color="auto"/>
          <w:color w:val="FF0000"/>
          <w:strike w:val="1"/>
        </w:rPr>
        <w:t>Specified Cure Quarter</w:t>
      </w:r>
      <w:r>
        <w:rPr>
          <w:rFonts w:ascii="Times New Roman" w:cs="Times New Roman" w:eastAsia="Times New Roman" w:hAnsi="Times New Roman"/>
          <w:sz w:val="18"/>
          <w:szCs w:val="18"/>
          <w:color w:val="FF0000"/>
          <w:strike w:val="1"/>
        </w:rPr>
        <w:t>” and collectively, the “</w:t>
      </w:r>
      <w:r>
        <w:rPr>
          <w:rFonts w:ascii="Times New Roman" w:cs="Times New Roman" w:eastAsia="Times New Roman" w:hAnsi="Times New Roman"/>
          <w:sz w:val="18"/>
          <w:szCs w:val="18"/>
          <w:i w:val="1"/>
          <w:iCs w:val="1"/>
          <w:u w:val="single" w:color="auto"/>
          <w:color w:val="FF0000"/>
          <w:strike w:val="1"/>
        </w:rPr>
        <w:t>Specified Cure Quarters</w:t>
      </w:r>
      <w:r>
        <w:rPr>
          <w:rFonts w:ascii="Times New Roman" w:cs="Times New Roman" w:eastAsia="Times New Roman" w:hAnsi="Times New Roman"/>
          <w:sz w:val="18"/>
          <w:szCs w:val="18"/>
          <w:color w:val="FF0000"/>
          <w:strike w:val="1"/>
        </w:rPr>
        <w:t xml:space="preserve">”) and (3) in Consolidated EBITDA solely for purposes of calculating (x) the financial covenants set forth in </w:t>
      </w:r>
      <w:r>
        <w:rPr>
          <w:rFonts w:ascii="Times New Roman" w:cs="Times New Roman" w:eastAsia="Times New Roman" w:hAnsi="Times New Roman"/>
          <w:sz w:val="18"/>
          <w:szCs w:val="18"/>
          <w:u w:val="single" w:color="auto"/>
          <w:color w:val="FF0000"/>
          <w:strike w:val="1"/>
        </w:rPr>
        <w:t>Section 7.11</w:t>
      </w:r>
      <w:r>
        <w:rPr>
          <w:rFonts w:ascii="Times New Roman" w:cs="Times New Roman" w:eastAsia="Times New Roman" w:hAnsi="Times New Roman"/>
          <w:sz w:val="18"/>
          <w:szCs w:val="18"/>
          <w:color w:val="FF0000"/>
          <w:strike w:val="1"/>
        </w:rPr>
        <w:t xml:space="preserve"> and (y) the Applicable Rate, and will be disregarded for purposes of the calculation of Consolidated EBITDA for all other purposes, including calculating basket levels, determining compliance with incurrence based or pro forma calculations or conditions and any other items governed by reference to Consolidated EBITDA,</w:t>
      </w:r>
    </w:p>
    <w:p>
      <w:pPr>
        <w:spacing w:after="0" w:line="1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u w:val="single" w:color="auto"/>
          <w:color w:val="auto"/>
        </w:rPr>
        <w:t>minus</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FF0000"/>
        </w:rPr>
        <w:t xml:space="preserve">(c)         </w:t>
      </w:r>
      <w:r>
        <w:rPr>
          <w:rFonts w:ascii="Times New Roman" w:cs="Times New Roman" w:eastAsia="Times New Roman" w:hAnsi="Times New Roman"/>
          <w:sz w:val="18"/>
          <w:szCs w:val="18"/>
          <w:color w:val="FF0000"/>
          <w:strike w:val="1"/>
        </w:rPr>
        <w:t>without duplication (i) all cash payments made during such Measurement Period on account of reserves, restructuring charges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other non-cash charges for a prior period added to Consolidated Net Income for a prior Measurement Period, and (ii) any non-cash gains for such Measurement Period, all determined on a Consolidated basis in accordance with GAAP; </w:t>
      </w:r>
      <w:r>
        <w:rPr>
          <w:rFonts w:ascii="Times New Roman" w:cs="Times New Roman" w:eastAsia="Times New Roman" w:hAnsi="Times New Roman"/>
          <w:sz w:val="18"/>
          <w:szCs w:val="18"/>
          <w:i w:val="1"/>
          <w:iCs w:val="1"/>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however</w:t>
      </w:r>
      <w:r>
        <w:rPr>
          <w:rFonts w:ascii="Times New Roman" w:cs="Times New Roman" w:eastAsia="Times New Roman" w:hAnsi="Times New Roman"/>
          <w:sz w:val="18"/>
          <w:szCs w:val="18"/>
          <w:color w:val="FF0000"/>
          <w:strike w:val="1"/>
        </w:rPr>
        <w:t>, that Consolidated EBITDA shall be calculated on a Pro Forma Basis to give effect to any Permitted Acquisitions, permitted Investments, Acquisitions and permitted Dispositions (other than any Permitted Transfer) consummated at any time on or after the first day of the applicable Measurement Period and, except as expressly set forth in the definition of Pro Forma Basis, prior to the date of determination as if each such Permitted Acquisition, or other Investment, Acquisition, or Disposition (other than any Permitted Transfer) had been effected on the first day of such period and as if each such Disposition (other than any Permitted Transfer) had been consummated on the day prior to the first day of such Measurement Period.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Notwithstanding the foregoing, Consolidated EBITDA for the following fiscal quarters shall be the amounts set forth opposite such fiscal quarter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Fiscal Quarter Ending</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Consolidated EBITDA</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December 31, 2019</w:t>
            </w:r>
          </w:p>
        </w:tc>
        <w:tc>
          <w:tcPr>
            <w:tcW w:w="480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FF0000"/>
                <w:strike w:val="1"/>
              </w:rPr>
              <w:t>$10,534,000</w:t>
            </w: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March 31, 2020</w:t>
            </w:r>
          </w:p>
        </w:tc>
        <w:tc>
          <w:tcPr>
            <w:tcW w:w="480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FF0000"/>
                <w:strike w:val="1"/>
              </w:rPr>
              <w:t>$14,383,000</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June 30, 2020</w:t>
            </w:r>
          </w:p>
        </w:tc>
        <w:tc>
          <w:tcPr>
            <w:tcW w:w="480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FF0000"/>
                <w:strike w:val="1"/>
              </w:rPr>
              <w:t>$16,045,000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5918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(c) </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-7620</wp:posOffset>
            </wp:positionV>
            <wp:extent cx="1270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Consolidated Fixed Charge Coverage Ratio</w:t>
      </w:r>
      <w:r>
        <w:rPr>
          <w:rFonts w:ascii="Times New Roman" w:cs="Times New Roman" w:eastAsia="Times New Roman" w:hAnsi="Times New Roman"/>
          <w:sz w:val="18"/>
          <w:szCs w:val="18"/>
          <w:color w:val="auto"/>
        </w:rPr>
        <w:t xml:space="preserve">” means, for any Measurement Period, the ratio of (a) the sum of (i) Consolidated EBITDA </w:t>
      </w:r>
      <w:r>
        <w:rPr>
          <w:rFonts w:ascii="Times New Roman" w:cs="Times New Roman" w:eastAsia="Times New Roman" w:hAnsi="Times New Roman"/>
          <w:sz w:val="18"/>
          <w:szCs w:val="18"/>
          <w:u w:val="single" w:color="auto"/>
          <w:color w:val="auto"/>
        </w:rPr>
        <w:t>less</w:t>
      </w:r>
    </w:p>
    <w:p>
      <w:pPr>
        <w:spacing w:after="0" w:line="29" w:lineRule="exact"/>
        <w:rPr>
          <w:sz w:val="20"/>
          <w:szCs w:val="20"/>
          <w:color w:val="auto"/>
        </w:rPr>
      </w:pPr>
    </w:p>
    <w:p>
      <w:pPr>
        <w:jc w:val="both"/>
        <w:ind w:firstLine="8"/>
        <w:spacing w:after="0" w:line="250" w:lineRule="auto"/>
        <w:tabs>
          <w:tab w:leader="none" w:pos="2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Maintenance Capital Expenditures paid with internally generated cash of the Loan Parties or Revolving Loans during such period to (b) the sum of (i) the aggregate principal amount of all redemptions or similar acquisitions for value of outstanding debt for borrowed money or regularly scheduled principal payments to the extent paid in cash (excluding (x) principal payments on any revolving, overdraft, factoring or similar facilities, unless such payments are in conjunction with a commitment reduction and (y) the Enzon Prepayment),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Consolidated Net Interest Expense,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aggregate amount of all Restricted Payments and earnout obligations paid in cash (other than Permitted Tax Distributions), </w:t>
      </w:r>
      <w:r>
        <w:rPr>
          <w:rFonts w:ascii="Times New Roman" w:cs="Times New Roman" w:eastAsia="Times New Roman" w:hAnsi="Times New Roman"/>
          <w:sz w:val="18"/>
          <w:szCs w:val="18"/>
          <w:u w:val="single" w:color="auto"/>
          <w:color w:val="auto"/>
        </w:rPr>
        <w:t>plus</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3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Taxes paid in cash (including Permitted Tax Distributions). For purposes hereof, the </w:t>
      </w:r>
      <w:r>
        <w:rPr>
          <w:rFonts w:ascii="Times New Roman" w:cs="Times New Roman" w:eastAsia="Times New Roman" w:hAnsi="Times New Roman"/>
          <w:sz w:val="18"/>
          <w:szCs w:val="18"/>
          <w:color w:val="FF0000"/>
          <w:strike w:val="1"/>
        </w:rPr>
        <w:t>components of</w:t>
      </w:r>
      <w:r>
        <w:rPr>
          <w:rFonts w:ascii="Times New Roman" w:cs="Times New Roman" w:eastAsia="Times New Roman" w:hAnsi="Times New Roman"/>
          <w:sz w:val="18"/>
          <w:szCs w:val="18"/>
          <w:color w:val="auto"/>
        </w:rPr>
        <w:t xml:space="preserve"> Consolidated Fixed Charge Coverage Ratio </w:t>
      </w:r>
      <w:r>
        <w:rPr>
          <w:rFonts w:ascii="Times New Roman" w:cs="Times New Roman" w:eastAsia="Times New Roman" w:hAnsi="Times New Roman"/>
          <w:sz w:val="18"/>
          <w:szCs w:val="18"/>
          <w:color w:val="FF0000"/>
          <w:strike w:val="1"/>
        </w:rPr>
        <w:t>set out in clauses (b)(i) and (b)(ii) above</w:t>
      </w:r>
      <w:r>
        <w:rPr>
          <w:rFonts w:ascii="Times New Roman" w:cs="Times New Roman" w:eastAsia="Times New Roman" w:hAnsi="Times New Roman"/>
          <w:sz w:val="18"/>
          <w:szCs w:val="18"/>
          <w:color w:val="auto"/>
        </w:rPr>
        <w:t xml:space="preserve"> for each Measurement Period </w:t>
      </w:r>
      <w:r>
        <w:rPr>
          <w:rFonts w:ascii="Times New Roman" w:cs="Times New Roman" w:eastAsia="Times New Roman" w:hAnsi="Times New Roman"/>
          <w:sz w:val="18"/>
          <w:szCs w:val="18"/>
          <w:color w:val="FF0000"/>
          <w:strike w:val="1"/>
        </w:rPr>
        <w:t>through the Measurement Period</w:t>
      </w:r>
      <w:r>
        <w:rPr>
          <w:rFonts w:ascii="Times New Roman" w:cs="Times New Roman" w:eastAsia="Times New Roman" w:hAnsi="Times New Roman"/>
          <w:sz w:val="18"/>
          <w:szCs w:val="18"/>
          <w:color w:val="auto"/>
        </w:rPr>
        <w:t xml:space="preserve"> ending </w:t>
      </w:r>
      <w:r>
        <w:rPr>
          <w:rFonts w:ascii="Times New Roman" w:cs="Times New Roman" w:eastAsia="Times New Roman" w:hAnsi="Times New Roman"/>
          <w:sz w:val="18"/>
          <w:szCs w:val="18"/>
          <w:u w:val="single" w:color="auto"/>
          <w:color w:val="0000FF"/>
        </w:rPr>
        <w:t>on March 31,</w:t>
      </w:r>
      <w:r>
        <w:rPr>
          <w:rFonts w:ascii="Times New Roman" w:cs="Times New Roman" w:eastAsia="Times New Roman" w:hAnsi="Times New Roman"/>
          <w:sz w:val="18"/>
          <w:szCs w:val="18"/>
          <w:color w:val="auto"/>
        </w:rPr>
        <w:t xml:space="preserve"> June 30</w:t>
      </w:r>
      <w:r>
        <w:rPr>
          <w:rFonts w:ascii="Times New Roman" w:cs="Times New Roman" w:eastAsia="Times New Roman" w:hAnsi="Times New Roman"/>
          <w:sz w:val="18"/>
          <w:szCs w:val="18"/>
          <w:color w:val="FF0000"/>
          <w:strike w:val="1"/>
        </w:rPr>
        <w:t>,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September 30, 2026</w:t>
      </w:r>
      <w:r>
        <w:rPr>
          <w:rFonts w:ascii="Times New Roman" w:cs="Times New Roman" w:eastAsia="Times New Roman" w:hAnsi="Times New Roman"/>
          <w:sz w:val="18"/>
          <w:szCs w:val="18"/>
          <w:color w:val="auto"/>
        </w:rPr>
        <w:t xml:space="preserve"> shall be calculated on an Annualized Basis.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 w:name="page36"/>
    <w:bookmarkEnd w:id="3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Consolidated Leverage Ratio</w:t>
      </w:r>
      <w:r>
        <w:rPr>
          <w:rFonts w:ascii="Times New Roman" w:cs="Times New Roman" w:eastAsia="Times New Roman" w:hAnsi="Times New Roman"/>
          <w:sz w:val="18"/>
          <w:szCs w:val="18"/>
          <w:color w:val="auto"/>
        </w:rPr>
        <w:t xml:space="preserve">” means, as of any date of determination, the ratio of (a) Total Funded Debt of the Borrower and its Restricted Subsidiaries as of such date to (b) Consolidated EBITDA of the Borrower and its Restricted Subsidiaries on a Consolidated basis for the most recently completed Measurement Period. </w:t>
      </w:r>
      <w:r>
        <w:rPr>
          <w:rFonts w:ascii="Times New Roman" w:cs="Times New Roman" w:eastAsia="Times New Roman" w:hAnsi="Times New Roman"/>
          <w:sz w:val="18"/>
          <w:szCs w:val="18"/>
          <w:color w:val="0000FF"/>
        </w:rPr>
        <w:t>For purposes hereof, the Consolidated Leverage Ratio for each Measurement Period ending on March 31, June 30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September 30, 2026 shall be calculated on an Annualized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1503680</wp:posOffset>
            </wp:positionH>
            <wp:positionV relativeFrom="paragraph">
              <wp:posOffset>-172720</wp:posOffset>
            </wp:positionV>
            <wp:extent cx="56292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29275" cy="8255"/>
                    </a:xfrm>
                    <a:prstGeom prst="rect">
                      <a:avLst/>
                    </a:prstGeom>
                    <a:noFill/>
                  </pic:spPr>
                </pic:pic>
              </a:graphicData>
            </a:graphic>
          </wp:anchor>
        </w:drawing>
        <w:drawing>
          <wp:anchor simplePos="0" relativeHeight="251657728" behindDoc="1" locked="0" layoutInCell="0" allowOverlap="1">
            <wp:simplePos x="0" y="0"/>
            <wp:positionH relativeFrom="column">
              <wp:posOffset>1503680</wp:posOffset>
            </wp:positionH>
            <wp:positionV relativeFrom="paragraph">
              <wp:posOffset>-155575</wp:posOffset>
            </wp:positionV>
            <wp:extent cx="56292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29275"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Consolidated Net Income</w:t>
      </w:r>
      <w:r>
        <w:rPr>
          <w:rFonts w:ascii="Times New Roman" w:cs="Times New Roman" w:eastAsia="Times New Roman" w:hAnsi="Times New Roman"/>
          <w:sz w:val="18"/>
          <w:szCs w:val="18"/>
          <w:color w:val="auto"/>
        </w:rPr>
        <w:t xml:space="preserve">” means, for any </w:t>
      </w:r>
      <w:r>
        <w:rPr>
          <w:rFonts w:ascii="Times New Roman" w:cs="Times New Roman" w:eastAsia="Times New Roman" w:hAnsi="Times New Roman"/>
          <w:sz w:val="18"/>
          <w:szCs w:val="18"/>
          <w:color w:val="FF0000"/>
          <w:strike w:val="1"/>
        </w:rPr>
        <w:t>Measurement Period</w:t>
      </w:r>
      <w:r>
        <w:rPr>
          <w:rFonts w:ascii="Times New Roman" w:cs="Times New Roman" w:eastAsia="Times New Roman" w:hAnsi="Times New Roman"/>
          <w:sz w:val="18"/>
          <w:szCs w:val="18"/>
          <w:u w:val="single" w:color="auto"/>
          <w:color w:val="0000FF"/>
        </w:rPr>
        <w:t>period</w:t>
      </w:r>
      <w:r>
        <w:rPr>
          <w:rFonts w:ascii="Times New Roman" w:cs="Times New Roman" w:eastAsia="Times New Roman" w:hAnsi="Times New Roman"/>
          <w:sz w:val="18"/>
          <w:szCs w:val="18"/>
          <w:color w:val="auto"/>
        </w:rPr>
        <w:t xml:space="preserve">, the net income or loss of the Borrower and its Restricted Subsidiaries for such period determined on a Consolidated basis in accordance with GAAP;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there shall be excluded (a) the net income or loss of any Restricted Subsidiary to the extent that the declaration or payment of dividends or similar distributions by the Restricted Subsidiary of that income is not at the time permitted by operation of the terms of its charter or any agreement, instrument, judgment, decree, statute, rule or governmental regulation applicable to such Restricted Subsidiary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any approval of any Governmental Authority is required for any such payment or distribution, this clause (a) shall not apply unless and until the applicable Governmental Authority has issued an order restricting such payment or distribution), (b) the income or loss of any Person accrued prior to the date it becomes a subsidiary or is merged into or Consolidated with the Borrower or any Restricted Subsidiary or prior to the date that such Person’s assets are acquired by the Borrower or any Restricted Subsidiary, (c) the net income or loss of any Person in which any other Person (other than the Borrower or a wholly owned Restricted Subsidiary or any director holding qualifying shares in accordance with applicable law) has a joint interest to the extent such net income is subject to restrictions, directly or indirectly, on the payment of dividends or the making of distributions by such Person, directly or indirectly, to the Borrower or any Restricted Subsidiary and (d) any non-cash gains or losses attributable to sales of assets outside of the ordinary course of business or any other non-cash non-recurring gains or losses, including, without limitation, any non-cash impairment charges.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Consolidated Net Interest Expense</w:t>
      </w:r>
      <w:r>
        <w:rPr>
          <w:rFonts w:ascii="Times New Roman" w:cs="Times New Roman" w:eastAsia="Times New Roman" w:hAnsi="Times New Roman"/>
          <w:sz w:val="18"/>
          <w:szCs w:val="18"/>
          <w:color w:val="auto"/>
        </w:rPr>
        <w:t xml:space="preserve">” means, for any period, (a) the sum of (i) the interest expense (including imputed interest expense in respect of Capital Lease Obligations and Synthetic Lease Obligations or any dividends or other payments made in respect of any Equity Interest) of the Borrower and the Restricted Subsidiaries for such period, determined on a Consolidated basis in accordance with GAAP,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any interest accrued during such period in respect of Indebtedness of the Borrower and the Restricted Subsidiaries that is required to be capitalized rather than included in consolidated interest expense for such period in accordance with GAAP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sum of (i) total interest income of the Borrower and the Restricted Subsidiaries for such period, in each case determined in accordance with GAAP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non-cash charges related to the amortization or write-off of debt discount or debt issuance costs and commissions to the extent included in the interest expense for such period. For purposes of the foregoing, interest expense shall be determined after giving effect to any net payments made or received by the Borrower and the Restricted Subsidiary or any Restricted Subsidiaries with respect to interest rate Swap Contracts.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Consolidated Net Interest Expense shall be calculated on a Pro Forma Basis to give effect to any Indebtedness (other than Indebtedness incurred for ordinary course working capital needs under ordinary course revolving or letter of credit facilities) incurred, assumed or permanently repaid or extinguished at any time on or after the first day of the Measurement Period and prior to the date of determination in connection with any Permitted Acquisitions and Disposition (other than any Permitted Transfer) as if such incurrence, assumption, repayment or extinguishment had been effected on the first day of such period.</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i w:val="1"/>
          <w:iCs w:val="1"/>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Controlled Account</w:t>
      </w:r>
      <w:r>
        <w:rPr>
          <w:rFonts w:ascii="Times New Roman" w:cs="Times New Roman" w:eastAsia="Times New Roman" w:hAnsi="Times New Roman"/>
          <w:sz w:val="18"/>
          <w:szCs w:val="18"/>
          <w:color w:val="auto"/>
        </w:rPr>
        <w:t>” means each deposit account and securities account that is subject to a Qualifying Control Agreement.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Covenant Modification Period</w:t>
      </w:r>
      <w:r>
        <w:rPr>
          <w:rFonts w:ascii="Times New Roman" w:cs="Times New Roman" w:eastAsia="Times New Roman" w:hAnsi="Times New Roman"/>
          <w:sz w:val="18"/>
          <w:szCs w:val="18"/>
          <w:color w:val="auto"/>
        </w:rPr>
        <w:t>” means the period commencing with the Third Amendment Effective Date and ending on the date that the Borrower delivers to the Administrative Agent a Compliance Certificate with respect to the fiscal quarter ending December 31, 2025.</w:t>
      </w:r>
    </w:p>
    <w:p>
      <w:pPr>
        <w:spacing w:after="0" w:line="158"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Covered Entity</w:t>
      </w:r>
      <w:r>
        <w:rPr>
          <w:rFonts w:ascii="Times New Roman" w:cs="Times New Roman" w:eastAsia="Times New Roman" w:hAnsi="Times New Roman"/>
          <w:sz w:val="18"/>
          <w:szCs w:val="18"/>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Covered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Daily Simple SOFR</w:t>
      </w:r>
      <w:r>
        <w:rPr>
          <w:rFonts w:ascii="Times New Roman" w:cs="Times New Roman" w:eastAsia="Times New Roman" w:hAnsi="Times New Roman"/>
          <w:sz w:val="18"/>
          <w:szCs w:val="18"/>
          <w:color w:val="auto"/>
        </w:rPr>
        <w:t>” with respect to any applicable determination date means the SOFR published on such date on the Federal Reserve Bank of New York’s website (or any successor source).</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Debt Issuance</w:t>
      </w:r>
      <w:r>
        <w:rPr>
          <w:rFonts w:ascii="Times New Roman" w:cs="Times New Roman" w:eastAsia="Times New Roman" w:hAnsi="Times New Roman"/>
          <w:sz w:val="18"/>
          <w:szCs w:val="18"/>
          <w:color w:val="auto"/>
        </w:rPr>
        <w:t xml:space="preserve">” means the issuance by any Loan Party or any Restricted Subsidiary of any Indebtedness other than Indebtedness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Default Rate</w:t>
      </w:r>
      <w:r>
        <w:rPr>
          <w:rFonts w:ascii="Times New Roman" w:cs="Times New Roman" w:eastAsia="Times New Roman" w:hAnsi="Times New Roman"/>
          <w:sz w:val="18"/>
          <w:szCs w:val="18"/>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Rate for Revolving Loans that are Base Rate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two percent (2%), in each case, to the fullest extent permitted by Applicable Law.</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any Lender that (a) has failed to (i) fund all or any portion of its Loans within two</w:t>
      </w:r>
    </w:p>
    <w:p>
      <w:pPr>
        <w:spacing w:after="0" w:line="29" w:lineRule="exact"/>
        <w:rPr>
          <w:sz w:val="20"/>
          <w:szCs w:val="20"/>
          <w:color w:val="auto"/>
        </w:rPr>
      </w:pPr>
    </w:p>
    <w:p>
      <w:pPr>
        <w:jc w:val="both"/>
        <w:ind w:firstLine="8"/>
        <w:spacing w:after="0" w:line="250"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w:t>
      </w:r>
      <w:r>
        <w:rPr>
          <w:rFonts w:ascii="Times New Roman" w:cs="Times New Roman" w:eastAsia="Times New Roman" w:hAnsi="Times New Roman"/>
          <w:sz w:val="18"/>
          <w:szCs w:val="18"/>
          <w:color w:val="FF0000"/>
          <w:strike w:val="1"/>
        </w:rPr>
        <w:t>, the Swingline Lender</w:t>
      </w:r>
      <w:r>
        <w:rPr>
          <w:rFonts w:ascii="Times New Roman" w:cs="Times New Roman" w:eastAsia="Times New Roman" w:hAnsi="Times New Roman"/>
          <w:sz w:val="18"/>
          <w:szCs w:val="18"/>
          <w:color w:val="auto"/>
        </w:rPr>
        <w:t xml:space="preserve"> or any other Lender any other amount required to be paid by it hereunder (including in respect of its participation in Letters of Credit </w:t>
      </w:r>
      <w:r>
        <w:rPr>
          <w:rFonts w:ascii="Times New Roman" w:cs="Times New Roman" w:eastAsia="Times New Roman" w:hAnsi="Times New Roman"/>
          <w:sz w:val="18"/>
          <w:szCs w:val="18"/>
          <w:color w:val="FF0000"/>
          <w:strike w:val="1"/>
        </w:rPr>
        <w:t>or Swingline Loans</w:t>
      </w:r>
      <w:r>
        <w:rPr>
          <w:rFonts w:ascii="Times New Roman" w:cs="Times New Roman" w:eastAsia="Times New Roman" w:hAnsi="Times New Roman"/>
          <w:sz w:val="18"/>
          <w:szCs w:val="18"/>
          <w:color w:val="auto"/>
        </w:rPr>
        <w:t>) within two (2) Business Days of the date when due, (b) has notified the Borrower, the Administrative Agent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the L/C Issuer </w:t>
      </w:r>
      <w:r>
        <w:rPr>
          <w:rFonts w:ascii="Times New Roman" w:cs="Times New Roman" w:eastAsia="Times New Roman" w:hAnsi="Times New Roman"/>
          <w:sz w:val="18"/>
          <w:szCs w:val="18"/>
          <w:color w:val="FF0000"/>
          <w:strike w:val="1"/>
        </w:rPr>
        <w:t>or the Swingline Lender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writing that it does not intend to comply with its funding obligations hereunder, or has made a public statement to that effect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 xml:space="preserve">, that such Lender shall cease to be a Defaulting Lender pursuant to this </w:t>
      </w:r>
      <w:r>
        <w:rPr>
          <w:rFonts w:ascii="Times New Roman" w:cs="Times New Roman" w:eastAsia="Times New Roman" w:hAnsi="Times New Roman"/>
          <w:sz w:val="18"/>
          <w:szCs w:val="18"/>
          <w:u w:val="single" w:color="auto"/>
          <w:color w:val="000000"/>
        </w:rPr>
        <w:t>clause (c</w:t>
      </w:r>
      <w:r>
        <w:rPr>
          <w:rFonts w:ascii="Times New Roman" w:cs="Times New Roman" w:eastAsia="Times New Roman" w:hAnsi="Times New Roman"/>
          <w:sz w:val="18"/>
          <w:szCs w:val="18"/>
          <w:color w:val="000000"/>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provincial or federal regulatory authority acting in such a capacity or (iii) become the subject of a Bail-In Action;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00"/>
        </w:rPr>
        <w:t>however</w:t>
      </w:r>
      <w:r>
        <w:rPr>
          <w:rFonts w:ascii="Times New Roman" w:cs="Times New Roman" w:eastAsia="Times New Roman" w:hAnsi="Times New Roman"/>
          <w:sz w:val="18"/>
          <w:szCs w:val="18"/>
          <w:color w:val="00000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000000"/>
        </w:rPr>
        <w:t>clauses (a</w:t>
      </w:r>
      <w:r>
        <w:rPr>
          <w:rFonts w:ascii="Times New Roman" w:cs="Times New Roman" w:eastAsia="Times New Roman" w:hAnsi="Times New Roman"/>
          <w:sz w:val="18"/>
          <w:szCs w:val="18"/>
          <w:color w:val="000000"/>
        </w:rPr>
        <w:t xml:space="preserve">) through (d) above, and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000000"/>
        </w:rPr>
        <w:t>Section 2.15(b</w:t>
      </w:r>
      <w:r>
        <w:rPr>
          <w:rFonts w:ascii="Times New Roman" w:cs="Times New Roman" w:eastAsia="Times New Roman" w:hAnsi="Times New Roman"/>
          <w:sz w:val="18"/>
          <w:szCs w:val="18"/>
          <w:color w:val="000000"/>
        </w:rPr>
        <w:t>)) as of the date established therefor by the Administrative Agent in a written notice of such determination, which shall be delivered by the Administrative Agent to the Borrower, the L/C Issuer</w:t>
      </w:r>
      <w:r>
        <w:rPr>
          <w:rFonts w:ascii="Times New Roman" w:cs="Times New Roman" w:eastAsia="Times New Roman" w:hAnsi="Times New Roman"/>
          <w:sz w:val="18"/>
          <w:szCs w:val="18"/>
          <w:color w:val="FF0000"/>
          <w:strike w:val="1"/>
        </w:rPr>
        <w:t>,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Swingline Lender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each other Lender promptly following such determination.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is the subject of any Sanction.</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u w:val="single" w:color="auto"/>
          <w:color w:val="auto"/>
        </w:rPr>
        <w:t>Dispose</w:t>
      </w:r>
      <w:r>
        <w:rPr>
          <w:rFonts w:ascii="Times New Roman" w:cs="Times New Roman" w:eastAsia="Times New Roman" w:hAnsi="Times New Roman"/>
          <w:sz w:val="18"/>
          <w:szCs w:val="18"/>
          <w:color w:val="auto"/>
        </w:rPr>
        <w:t>” means the sale, transfer or other disposition (including any Sale and Leaseback Transaction) of any property by any Loan Party or Restricted Subsidiary, including any sale, assignment, transfer or other disposal, with or without recourse, of any notes or accounts receivable or any rights and claims associated therewith.</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Disqualified Institution</w:t>
      </w:r>
      <w:r>
        <w:rPr>
          <w:rFonts w:ascii="Times New Roman" w:cs="Times New Roman" w:eastAsia="Times New Roman" w:hAnsi="Times New Roman"/>
          <w:sz w:val="18"/>
          <w:szCs w:val="18"/>
          <w:color w:val="auto"/>
        </w:rPr>
        <w:t>” means, on any date, (a) any Person identified by name by the Borrower to the Administrative Agent in writing prior to the Closing Date and (b) any other Person that is a Competitor of the Borrower or any of its Subsidiaries, in each case that is separately identified in writing by name by the Borrower to the Administrative Agent from time to time (other than upon and during the continuance of an Event of Default) or (c) any Affiliate of any person identified in clause (a) or (b) that is clearly identifiable as an affiliate on the basis of its name (other than bona fide debt funds that purchase commercial loans in the ordinary course of business, other than such debt funds excluded pursuant to clause (a) of this paragraph), which designation shall not have retroactive effect to any prior assignment or participation to any Lender permitted hereunder or under the Loan Documents at the time of such assignment or participation.</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Disqualified Preferred Stock</w:t>
      </w:r>
      <w:r>
        <w:rPr>
          <w:rFonts w:ascii="Times New Roman" w:cs="Times New Roman" w:eastAsia="Times New Roman" w:hAnsi="Times New Roman"/>
          <w:sz w:val="18"/>
          <w:szCs w:val="18"/>
          <w:color w:val="auto"/>
        </w:rPr>
        <w:t>” means all redeemable preferred Equity Interests of any Person, to the extent mandatorily redeemable in cash (other than as a result of a change of control if the documentation regarding such preferred Equity Interests provides for no payment unless, prior to any such payment, all Loans and other Obligations under the Loan Documents are paid in full in cash or the Lenders consent to such payment) on or prior to the date that is ninety-one (91) days after the Maturity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Domestic Restricted Subsidiary</w:t>
      </w:r>
      <w:r>
        <w:rPr>
          <w:rFonts w:ascii="Times New Roman" w:cs="Times New Roman" w:eastAsia="Times New Roman" w:hAnsi="Times New Roman"/>
          <w:sz w:val="18"/>
          <w:szCs w:val="18"/>
          <w:color w:val="auto"/>
        </w:rPr>
        <w:t>” shall mean a Domestic Subsidiary that is a Restricted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the United States, any state thereof or the District of Columbia.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DQ List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11.06(g)(iv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or (b) of this definition and is subject to consolidated supervision with its parent.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 xml:space="preserve">)). For the avoidance of doubt, any Disqualified Institution is subject to </w:t>
      </w:r>
      <w:r>
        <w:rPr>
          <w:rFonts w:ascii="Times New Roman" w:cs="Times New Roman" w:eastAsia="Times New Roman" w:hAnsi="Times New Roman"/>
          <w:sz w:val="18"/>
          <w:szCs w:val="18"/>
          <w:u w:val="single" w:color="auto"/>
          <w:color w:val="auto"/>
        </w:rPr>
        <w:t>Section 11.06(g)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Environmental Laws</w:t>
      </w:r>
      <w:r>
        <w:rPr>
          <w:rFonts w:ascii="Times New Roman" w:cs="Times New Roman" w:eastAsia="Times New Roman" w:hAnsi="Times New Roman"/>
          <w:sz w:val="18"/>
          <w:szCs w:val="18"/>
          <w:color w:val="auto"/>
        </w:rPr>
        <w:t>” means all applicable current and future Federal, state and local laws (including common law), regulations, rules, ordinances, codes, and any legally binding decrees, judgments, directives and orders (including consent orders), in each case, relating to protection of the environment or natural resources, human health and safety as it relates to environmental protection, the presence, Release of, or exposure to, Hazardous Materials, or the generation, manufacture, processing, distribution, use, treatment, storage, transport, recycling or handling of, or the arrangement for such activities with respect to, Hazardous Materials.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Environmental Liability</w:t>
      </w:r>
      <w:r>
        <w:rPr>
          <w:rFonts w:ascii="Times New Roman" w:cs="Times New Roman" w:eastAsia="Times New Roman" w:hAnsi="Times New Roman"/>
          <w:sz w:val="18"/>
          <w:szCs w:val="18"/>
          <w:color w:val="auto"/>
        </w:rPr>
        <w:t>” means all liabilities, obligations, damages, losses, claims, actions, suits, judgments, orders, fines, penalties, fees, expenses and costs (including administrative oversight costs, natural resource damages and remediation costs), whether contingent or otherwise, arising out of or relating to (a) non-compliance with any Environmental Law, (b) the generation, use, handling, transportation, storage, treatment or disposal of any Hazardous Materials, (c) exposure to any Hazardous Materials, (d) the Release of any Hazardous Materials, or (e) any contract, agreement or other written consensual arrangement pursuant to which liability is assumed or imposed with respect to any of the foregoing.</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Enzon Merger</w:t>
      </w:r>
      <w:r>
        <w:rPr>
          <w:rFonts w:ascii="Times New Roman" w:cs="Times New Roman" w:eastAsia="Times New Roman" w:hAnsi="Times New Roman"/>
          <w:sz w:val="18"/>
          <w:szCs w:val="18"/>
          <w:color w:val="auto"/>
        </w:rPr>
        <w:t>” has the meaning set forth in the Fourth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Enzon Merger Agreement</w:t>
      </w:r>
      <w:r>
        <w:rPr>
          <w:rFonts w:ascii="Times New Roman" w:cs="Times New Roman" w:eastAsia="Times New Roman" w:hAnsi="Times New Roman"/>
          <w:sz w:val="18"/>
          <w:szCs w:val="18"/>
          <w:color w:val="auto"/>
        </w:rPr>
        <w:t>” has the meaning set forth in the Fourth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Enzon Prepayment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Equity Issuance</w:t>
      </w:r>
      <w:r>
        <w:rPr>
          <w:rFonts w:ascii="Times New Roman" w:cs="Times New Roman" w:eastAsia="Times New Roman" w:hAnsi="Times New Roman"/>
          <w:sz w:val="18"/>
          <w:szCs w:val="18"/>
          <w:color w:val="auto"/>
        </w:rPr>
        <w:t>” means any issuance or sale by the Borrower or any Restricted Subsidiary of any Qualified Equity Interests of the Borrower or any such Restricted Subsidiary, as applicable, except in each case for (a) any such issuance or sale by a Restricted Subsidiary to the Borrower, any Loan Party or another Restricted Subsidiary, (b) any issuance of directors’ qualifying shares, and (c) sales or issuances of Equity Interests of the Borrower to directors, management, consultants or any other employee of the Borrower or any Restricted Subsidiary under any employee stock option or stock purchase plan or employee benefit plan or similar plan in existence from time to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ERISA</w:t>
      </w:r>
      <w:r>
        <w:rPr>
          <w:rFonts w:ascii="Times New Roman" w:cs="Times New Roman" w:eastAsia="Times New Roman" w:hAnsi="Times New Roman"/>
          <w:sz w:val="18"/>
          <w:szCs w:val="18"/>
          <w:color w:val="auto"/>
        </w:rPr>
        <w:t>” means the Employee Retirement Income Security Act of 1974, as the same may be amended from time to time.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ERISA Event</w:t>
      </w:r>
      <w:r>
        <w:rPr>
          <w:rFonts w:ascii="Times New Roman" w:cs="Times New Roman" w:eastAsia="Times New Roman" w:hAnsi="Times New Roman"/>
          <w:sz w:val="18"/>
          <w:szCs w:val="18"/>
          <w:color w:val="auto"/>
        </w:rPr>
        <w:t>” means (a) any “</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as defined in Section 4043 of ERISA or the regulations issued thereunder, with respect to a Plan (other than an event for which the 30-day notice period is waived), (b) the failure by any Plan to satisfy the minimum funding standards (within the meaning of Section 412 of the Code or Section 302 of ERISA) applicable to such Plan, whether or not waived, (c) the filing pursuant to Section 412 of the Code or Section 302 of ERISA of an application for a waiver of the minimum funding standard with respect to any Plan, (d) the incurrence by the Borrower or any of its ERISA Affiliates of any liability with respect to the termination of any Plan or the withdrawal or partial withdrawal of the Borrower or any of its ERISA Affiliates from any Plan or Multiemployer Plan, (e) a determination that any Plan is, or is reasonably expected to be, in “at risk” status (within the meaning of Section 3030 of ERISA or Section 430 of the Code), the receipt by the Borrower or any of its ERISA Affiliates from the PBGC or a plan administrator of any notice relating to the intention to terminate any Plan or Plans or to appoint a trustee to administer any Plan, (f) the adoption of any amendment to a Plan that would require the provision of security pursuant to Section 436(f) of the Code, (g) the receipt by the Borrower or any of its ERISA Affiliates of any notice, or the receipt by any Multiemployer Plan from the Borrower or any of its ERISA Affiliates of any notice, concerning the imposition of Withdrawal Liability or a determination that a Multiemployer Plan is, or is expected to be, insolvent within the meaning of Title IV of ERISA, or (h) the occurrence of a “</w:t>
      </w:r>
      <w:r>
        <w:rPr>
          <w:rFonts w:ascii="Times New Roman" w:cs="Times New Roman" w:eastAsia="Times New Roman" w:hAnsi="Times New Roman"/>
          <w:sz w:val="18"/>
          <w:szCs w:val="18"/>
          <w:u w:val="single" w:color="auto"/>
          <w:color w:val="auto"/>
        </w:rPr>
        <w:t>prohibited transaction</w:t>
      </w:r>
      <w:r>
        <w:rPr>
          <w:rFonts w:ascii="Times New Roman" w:cs="Times New Roman" w:eastAsia="Times New Roman" w:hAnsi="Times New Roman"/>
          <w:sz w:val="18"/>
          <w:szCs w:val="18"/>
          <w:color w:val="auto"/>
        </w:rPr>
        <w:t>” (within the meaning of Section 4975 of the Code or 406 of ERISA) with respect to which the Borrower or any of the Restricted Subsidiaries is a “</w:t>
      </w:r>
      <w:r>
        <w:rPr>
          <w:rFonts w:ascii="Times New Roman" w:cs="Times New Roman" w:eastAsia="Times New Roman" w:hAnsi="Times New Roman"/>
          <w:sz w:val="18"/>
          <w:szCs w:val="18"/>
          <w:u w:val="single" w:color="auto"/>
          <w:color w:val="auto"/>
        </w:rPr>
        <w:t>disqualified person</w:t>
      </w:r>
      <w:r>
        <w:rPr>
          <w:rFonts w:ascii="Times New Roman" w:cs="Times New Roman" w:eastAsia="Times New Roman" w:hAnsi="Times New Roman"/>
          <w:sz w:val="18"/>
          <w:szCs w:val="18"/>
          <w:color w:val="auto"/>
        </w:rPr>
        <w:t>” (within the meaning of Section 4975 of the Code) or “</w:t>
      </w:r>
      <w:r>
        <w:rPr>
          <w:rFonts w:ascii="Times New Roman" w:cs="Times New Roman" w:eastAsia="Times New Roman" w:hAnsi="Times New Roman"/>
          <w:sz w:val="18"/>
          <w:szCs w:val="18"/>
          <w:u w:val="single" w:color="auto"/>
          <w:color w:val="auto"/>
        </w:rPr>
        <w:t>party in interest</w:t>
      </w:r>
      <w:r>
        <w:rPr>
          <w:rFonts w:ascii="Times New Roman" w:cs="Times New Roman" w:eastAsia="Times New Roman" w:hAnsi="Times New Roman"/>
          <w:sz w:val="18"/>
          <w:szCs w:val="18"/>
          <w:color w:val="auto"/>
        </w:rPr>
        <w:t>” (within the meaning of Section 406 of ERISA) or with respect to which the Borrower or any such Restricted Subsidiary could otherwise be liable.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0" w:name="page41"/>
    <w:bookmarkEnd w:id="40"/>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EU Bail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Excluded Account</w:t>
      </w:r>
      <w:r>
        <w:rPr>
          <w:rFonts w:ascii="Times New Roman" w:cs="Times New Roman" w:eastAsia="Times New Roman" w:hAnsi="Times New Roman"/>
          <w:sz w:val="18"/>
          <w:szCs w:val="18"/>
          <w:color w:val="auto"/>
        </w:rPr>
        <w:t>” means any (i) account holding assets used solely for purposes of paying payroll obligations, (ii) account holding assets solely held in escrow for third parties established in the ordinary course of business, (iii) account holding assets used solely for purposes of paying trust obligations, (iv) account holding assets used solely for purposes of paying employee benefits obligations, (v) account holding assets used solely for purposes of paying 401(k) obligations, (vi) account holding assets used solely for purposes of paying pension fund obligations, (vii) account holding assets consisting solely of treasury shares, (viii) account holding assets used solely for purposes of paying taxes and (ix) unless otherwise elected by the Borrower, any deposit account or securities account of a Loan Party in any jurisdiction other than the United States.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Excluded Property</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Excluded Subsidiary</w:t>
      </w:r>
      <w:r>
        <w:rPr>
          <w:rFonts w:ascii="Times New Roman" w:cs="Times New Roman" w:eastAsia="Times New Roman" w:hAnsi="Times New Roman"/>
          <w:sz w:val="18"/>
          <w:szCs w:val="18"/>
          <w:color w:val="auto"/>
        </w:rPr>
        <w:t>” means, as of any date of determination, any Subsidiary that is an Immaterial Subsidiary or an Unrestricted Subsidiary.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Excluded Swap Obligation</w:t>
      </w:r>
      <w:r>
        <w:rPr>
          <w:rFonts w:ascii="Times New Roman" w:cs="Times New Roman" w:eastAsia="Times New Roman" w:hAnsi="Times New Roman"/>
          <w:sz w:val="18"/>
          <w:szCs w:val="18"/>
          <w:color w:val="auto"/>
        </w:rPr>
        <w:t xml:space="preserve">” means, with respect to any Guarantor, any Swap Obligation if, and to the extent that, all or a portion of the Guaranty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and any other “keepwell”, support or other agreement for the benefit of such Guarantor and any and all guarantees of such Guarantor’s Swap Obligations by other Guarantors)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51" w:lineRule="auto"/>
        <w:tabs>
          <w:tab w:leader="none" w:pos="2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Sections 3.01(b</w:t>
      </w:r>
      <w:r>
        <w:rPr>
          <w:rFonts w:ascii="Times New Roman" w:cs="Times New Roman" w:eastAsia="Times New Roman" w:hAnsi="Times New Roman"/>
          <w:sz w:val="18"/>
          <w:szCs w:val="18"/>
          <w:color w:val="auto"/>
        </w:rPr>
        <w:t xml:space="preserve">) or (d),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)and (d) any U.S. federal withholding Taxes imposed pursuant to FATCA.</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1" w:name="page42"/>
    <w:bookmarkEnd w:id="41"/>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Existing ABL Credit Agreement</w:t>
      </w:r>
      <w:r>
        <w:rPr>
          <w:rFonts w:ascii="Times New Roman" w:cs="Times New Roman" w:eastAsia="Times New Roman" w:hAnsi="Times New Roman"/>
          <w:sz w:val="18"/>
          <w:szCs w:val="18"/>
          <w:color w:val="auto"/>
        </w:rPr>
        <w:t>” means that certain Loan and Security Agreement dated as of November 14, 2007 (as amended, restated, supplemented or otherwise modified prior to the Closing Date), by and between the Borrower and Icahn Enterprises Holdings L.P.</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Existing Letters of Credit</w:t>
      </w:r>
      <w:r>
        <w:rPr>
          <w:rFonts w:ascii="Times New Roman" w:cs="Times New Roman" w:eastAsia="Times New Roman" w:hAnsi="Times New Roman"/>
          <w:sz w:val="18"/>
          <w:szCs w:val="18"/>
          <w:color w:val="auto"/>
        </w:rPr>
        <w:t xml:space="preserve">” means those certain letters of credit set forth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Existing Term Loan Credit Agreement</w:t>
      </w:r>
      <w:r>
        <w:rPr>
          <w:rFonts w:ascii="Times New Roman" w:cs="Times New Roman" w:eastAsia="Times New Roman" w:hAnsi="Times New Roman"/>
          <w:sz w:val="18"/>
          <w:szCs w:val="18"/>
          <w:color w:val="auto"/>
        </w:rPr>
        <w:t>” means that certain Credit Agreement dated as of January 30, 2014 (as amended, restated, supplemented or otherwise modified prior to the Closing Date), by and among the Borrower, the lenders party thereto and UBS AG, Stamford Branch, as administrative agent and collateral agent.</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Extended Letter of Credit</w:t>
      </w:r>
      <w:r>
        <w:rPr>
          <w:rFonts w:ascii="Times New Roman" w:cs="Times New Roman" w:eastAsia="Times New Roman" w:hAnsi="Times New Roman"/>
          <w:sz w:val="18"/>
          <w:szCs w:val="18"/>
          <w:color w:val="auto"/>
        </w:rPr>
        <w:t>” means a Letter of Credit that, upon the Company’s request and the L/C Issuer’s approval, shall have an expiry date later than the Letter of Credit Expiration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Facility</w:t>
      </w:r>
      <w:r>
        <w:rPr>
          <w:rFonts w:ascii="Times New Roman" w:cs="Times New Roman" w:eastAsia="Times New Roman" w:hAnsi="Times New Roman"/>
          <w:sz w:val="18"/>
          <w:szCs w:val="18"/>
          <w:color w:val="auto"/>
        </w:rPr>
        <w:t>” means the Term Facility or the Revolving Facility,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Facility Termination Date</w:t>
      </w:r>
      <w:r>
        <w:rPr>
          <w:rFonts w:ascii="Times New Roman" w:cs="Times New Roman" w:eastAsia="Times New Roman" w:hAnsi="Times New Roman"/>
          <w:sz w:val="18"/>
          <w:szCs w:val="18"/>
          <w:color w:val="auto"/>
        </w:rPr>
        <w:t>” means the date as of which all of the following shall have occurred: (a) the Aggregate Commitments have terminated,</w:t>
      </w:r>
    </w:p>
    <w:p>
      <w:pPr>
        <w:spacing w:after="0" w:line="29" w:lineRule="exact"/>
        <w:rPr>
          <w:sz w:val="20"/>
          <w:szCs w:val="20"/>
          <w:color w:val="auto"/>
        </w:rPr>
      </w:pPr>
    </w:p>
    <w:p>
      <w:pPr>
        <w:jc w:val="both"/>
        <w:ind w:firstLine="8"/>
        <w:spacing w:after="0" w:line="255" w:lineRule="auto"/>
        <w:tabs>
          <w:tab w:leader="none" w:pos="2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have been paid in full (other than contingent indemnification obligations for which no claim or demand has yet been made), and (c) all Letters of Credit have terminated or expired (other than Letters of Credit as to which other arrangements with respect thereto satisfactory to the Administrative Agent and the L/C Issuer shall have been made).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FDA</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Federal Funds Rate</w:t>
      </w:r>
      <w:r>
        <w:rPr>
          <w:rFonts w:ascii="Times New Roman" w:cs="Times New Roman" w:eastAsia="Times New Roman" w:hAnsi="Times New Roman"/>
          <w:sz w:val="18"/>
          <w:szCs w:val="18"/>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Fee Letter</w:t>
      </w:r>
      <w:r>
        <w:rPr>
          <w:rFonts w:ascii="Times New Roman" w:cs="Times New Roman" w:eastAsia="Times New Roman" w:hAnsi="Times New Roman"/>
          <w:sz w:val="18"/>
          <w:szCs w:val="18"/>
          <w:color w:val="auto"/>
        </w:rPr>
        <w:t>” means the letter agreement, dated August 14, 2020, among the Borrower, the Administrative Agent and BofA Securities.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2" w:name="page43"/>
    <w:bookmarkEnd w:id="42"/>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Financial Officer</w:t>
      </w:r>
      <w:r>
        <w:rPr>
          <w:rFonts w:ascii="Times New Roman" w:cs="Times New Roman" w:eastAsia="Times New Roman" w:hAnsi="Times New Roman"/>
          <w:sz w:val="18"/>
          <w:szCs w:val="18"/>
          <w:color w:val="auto"/>
        </w:rPr>
        <w:t>” means of any Person shall mean the chief financial officer, principal accounting officer, vice president of finance, treasurer or controller of such Person.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First Amendment Effective Date</w:t>
      </w:r>
      <w:r>
        <w:rPr>
          <w:rFonts w:ascii="Times New Roman" w:cs="Times New Roman" w:eastAsia="Times New Roman" w:hAnsi="Times New Roman"/>
          <w:sz w:val="18"/>
          <w:szCs w:val="18"/>
          <w:color w:val="auto"/>
        </w:rPr>
        <w:t>” means August 13, 2021.</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Foreign Obligation Loan Documents</w:t>
      </w:r>
      <w:r>
        <w:rPr>
          <w:rFonts w:ascii="Times New Roman" w:cs="Times New Roman" w:eastAsia="Times New Roman" w:hAnsi="Times New Roman"/>
          <w:sz w:val="18"/>
          <w:szCs w:val="18"/>
          <w:color w:val="auto"/>
        </w:rPr>
        <w:t>” means all legal documentation entered into between the applicable Foreign Subsidiary and the Foreign Obligation Provider, to the extent evidencing Foreign Subsidiary Secured Obligations.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Foreign Obligation Provider</w:t>
      </w:r>
      <w:r>
        <w:rPr>
          <w:rFonts w:ascii="Times New Roman" w:cs="Times New Roman" w:eastAsia="Times New Roman" w:hAnsi="Times New Roman"/>
          <w:sz w:val="18"/>
          <w:szCs w:val="18"/>
          <w:color w:val="auto"/>
        </w:rPr>
        <w:t>” means any Person in its capacity as a party to a Foreign Obligation Loan Document that, (a) at the time it enters into such Foreign Obligation Loan Document with a Loan Party or any Subsidiary, is a Lender or an office, branch or Affiliate of a Lender, or (b) at the time it (or its Affiliate) becomes a Lender, is a party to such Foreign Obligation Loan Document with a Loan Party or any Subsidiary, in each case in its capacity as a party to such Foreign Obligation Loan Documents (even if such Person ceases to be a Lender or such Person’s Affiliate ceased to be a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Foreign Obligor</w:t>
      </w:r>
      <w:r>
        <w:rPr>
          <w:rFonts w:ascii="Times New Roman" w:cs="Times New Roman" w:eastAsia="Times New Roman" w:hAnsi="Times New Roman"/>
          <w:sz w:val="18"/>
          <w:szCs w:val="18"/>
          <w:color w:val="auto"/>
        </w:rPr>
        <w:t>” means a Loan Party that is a Foreign Subsidiary.</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Foreign Subsidiary</w:t>
      </w:r>
      <w:r>
        <w:rPr>
          <w:rFonts w:ascii="Times New Roman" w:cs="Times New Roman" w:eastAsia="Times New Roman" w:hAnsi="Times New Roman"/>
          <w:sz w:val="18"/>
          <w:szCs w:val="18"/>
          <w:color w:val="auto"/>
        </w:rPr>
        <w:t>” means any Subsidiary that is organized under the laws of a jurisdiction other than the United States, a State thereof or the District of Columbia.</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Foreign Subsidiary Secured Obligations</w:t>
      </w:r>
      <w:r>
        <w:rPr>
          <w:rFonts w:ascii="Times New Roman" w:cs="Times New Roman" w:eastAsia="Times New Roman" w:hAnsi="Times New Roman"/>
          <w:sz w:val="18"/>
          <w:szCs w:val="18"/>
          <w:color w:val="auto"/>
        </w:rPr>
        <w:t xml:space="preserve">” means all unpaid principal of, accrued and unpaid interest and fees and reimbursement obligations, and all expenses, reimbursements, indemnities and other obligations under or with respect to, any loans, letters of credit, acceptances, guarantees, overdraft facilities, other credit extensions or accommodations or similar obligations owing by any Foreign Subsidiary to a Foreign Obligation Provider;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obligations constituting Indebtedness shall only constitute Foreign Subsidiary Secured Obligations to the extent permitted under </w:t>
      </w:r>
      <w:r>
        <w:rPr>
          <w:rFonts w:ascii="Times New Roman" w:cs="Times New Roman" w:eastAsia="Times New Roman" w:hAnsi="Times New Roman"/>
          <w:sz w:val="18"/>
          <w:szCs w:val="18"/>
          <w:u w:val="single" w:color="auto"/>
          <w:color w:val="auto"/>
        </w:rPr>
        <w:t>Section 7.01(m)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Fourth Amendment</w:t>
      </w:r>
      <w:r>
        <w:rPr>
          <w:rFonts w:ascii="Times New Roman" w:cs="Times New Roman" w:eastAsia="Times New Roman" w:hAnsi="Times New Roman"/>
          <w:sz w:val="18"/>
          <w:szCs w:val="18"/>
          <w:color w:val="auto"/>
        </w:rPr>
        <w:t>” means that certain Fourth Amendment to Credit Agreement dated as of the Fourth Amendment Effective Date by and among the Borrower, the Guarantors, the Lenders and the Administrative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Fourth Amendment Effective Date</w:t>
      </w:r>
      <w:r>
        <w:rPr>
          <w:rFonts w:ascii="Times New Roman" w:cs="Times New Roman" w:eastAsia="Times New Roman" w:hAnsi="Times New Roman"/>
          <w:sz w:val="18"/>
          <w:szCs w:val="18"/>
          <w:color w:val="auto"/>
        </w:rPr>
        <w:t>” means July 25,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Fifth Amendment Effective Date</w:t>
      </w:r>
      <w:r>
        <w:rPr>
          <w:rFonts w:ascii="Times New Roman" w:cs="Times New Roman" w:eastAsia="Times New Roman" w:hAnsi="Times New Roman"/>
          <w:sz w:val="18"/>
          <w:szCs w:val="18"/>
          <w:color w:val="auto"/>
        </w:rPr>
        <w:t>” means October 10,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Fronting Exposure</w:t>
      </w:r>
      <w:r>
        <w:rPr>
          <w:rFonts w:ascii="Times New Roman" w:cs="Times New Roman" w:eastAsia="Times New Roman" w:hAnsi="Times New Roman"/>
          <w:sz w:val="18"/>
          <w:szCs w:val="18"/>
          <w:color w:val="auto"/>
        </w:rPr>
        <w:t xml:space="preserve">” means, at any time there is a Defaulting Lender that is a Revolving Lender,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with respect to the L/C Issuer, such Defaulting Lender’s Applicable Percentage of the outstanding L/C Obligations other than L/C Obligations as to which such Defaulting Lender’s participation obligation has been reallocated to other Revolving Lenders or Cash Collateralized in accordance with the terms hereof</w:t>
      </w:r>
      <w:r>
        <w:rPr>
          <w:rFonts w:ascii="Times New Roman" w:cs="Times New Roman" w:eastAsia="Times New Roman" w:hAnsi="Times New Roman"/>
          <w:sz w:val="18"/>
          <w:szCs w:val="18"/>
          <w:color w:val="FF0000"/>
          <w:strike w:val="1"/>
        </w:rPr>
        <w:t>, and (b) with respect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r>
        <w:rPr>
          <w:rFonts w:ascii="Times New Roman" w:cs="Times New Roman" w:eastAsia="Times New Roman" w:hAnsi="Times New Roman"/>
          <w:sz w:val="18"/>
          <w:szCs w:val="18"/>
          <w:u w:val="single" w:color="auto"/>
          <w:color w:val="0000FF"/>
          <w:strike w:val="1"/>
        </w:rPr>
        <w:t>.</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3" w:name="page44"/>
    <w:bookmarkEnd w:id="43"/>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Funding Indemnity Letter</w:t>
      </w:r>
      <w:r>
        <w:rPr>
          <w:rFonts w:ascii="Times New Roman" w:cs="Times New Roman" w:eastAsia="Times New Roman" w:hAnsi="Times New Roman"/>
          <w:sz w:val="18"/>
          <w:szCs w:val="18"/>
          <w:color w:val="auto"/>
        </w:rPr>
        <w:t xml:space="preserve">” means a funding indemnity letter,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the FDA, the USDA, the Financial Conduct Authority, the Prudential Regulation Authority and any supra-national bodies such as the European Union or the European Central Bank).</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Guarantee</w:t>
      </w:r>
      <w:r>
        <w:rPr>
          <w:rFonts w:ascii="Times New Roman" w:cs="Times New Roman" w:eastAsia="Times New Roman" w:hAnsi="Times New Roman"/>
          <w:sz w:val="18"/>
          <w:szCs w:val="18"/>
          <w:color w:val="auto"/>
        </w:rPr>
        <w:t>” of or by any Person means any obligation, contingent or otherwise, of such Person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such Person, direct or indirect, (a) to purchase or pay (or advance or supply funds for the purchase or payment of) such Indebtedness or other obligation or to purchase (or to advance or supply funds for the purchase of) any security for the payment of such Indebtedness or other obligation,</w:t>
      </w:r>
    </w:p>
    <w:p>
      <w:pPr>
        <w:spacing w:after="0" w:line="1" w:lineRule="exact"/>
        <w:rPr>
          <w:sz w:val="20"/>
          <w:szCs w:val="20"/>
          <w:color w:val="auto"/>
        </w:rPr>
      </w:pPr>
    </w:p>
    <w:p>
      <w:pPr>
        <w:jc w:val="both"/>
        <w:ind w:firstLine="8"/>
        <w:spacing w:after="0" w:line="251"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purchase or lease property, assets, securities or services for the purpose of assuring the owner of such Indebtedness or other obligation of the payment of such Indebtedness or other obligation, (c) to maintain working capital, equity capital or any other financial statement condition or liquidity of the primary obligor so as to enable the primary obligor to pay such Indebtedness or other obligation, (d) as an account party in respect of any letter of credit or letter of guaranty issued to support such Indebtedness or obligation, or (e) to otherwise assure or hold harmless the owner of such Indebtedness or other obligation against loss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term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shall not include endorsements for collection or deposit in the ordinary course of business. The amount of any obligation under a Guarantee of a guarantor shall be deemed to be the lower of (A) an amount equal to the stated or determinable amount of the primary obligation in respect of which such Guarantee is made, and (B) the maximum amount for which such guarantor may be liable pursuant to the terms of the instrument embodying such Guarantee, unless such primary obligation and the maximum amount for which such guarantor may be liable are not stated or determinable, in which case the amount of such obligation shall be such guarantor’s maximum reasonably anticipated liability in respect thereof as determined by the Borrower in good faith.</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4" w:name="page45"/>
    <w:bookmarkEnd w:id="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Guarantors</w:t>
      </w:r>
      <w:r>
        <w:rPr>
          <w:rFonts w:ascii="Times New Roman" w:cs="Times New Roman" w:eastAsia="Times New Roman" w:hAnsi="Times New Roman"/>
          <w:sz w:val="18"/>
          <w:szCs w:val="18"/>
          <w:color w:val="auto"/>
        </w:rPr>
        <w:t xml:space="preserve">” means, collectively, (a) the Restricted Subsidiaries of the Borrower as are or may from time to time become parties to this Agreement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(b) with respect to Additional Secured Obligations owing by any Loan Party or any of its Subsidiaries and any Swap Obligation of a Specified Loan Party (determined before giving effect to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10.11</w:t>
      </w:r>
      <w:r>
        <w:rPr>
          <w:rFonts w:ascii="Times New Roman" w:cs="Times New Roman" w:eastAsia="Times New Roman" w:hAnsi="Times New Roman"/>
          <w:sz w:val="18"/>
          <w:szCs w:val="18"/>
          <w:color w:val="auto"/>
        </w:rPr>
        <w:t>) under the Guaranty, the Borrower. For the avoidance of doubt, no Excluded Subsidiary shall be required to be a Guarantor.</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Guaranty</w:t>
      </w:r>
      <w:r>
        <w:rPr>
          <w:rFonts w:ascii="Times New Roman" w:cs="Times New Roman" w:eastAsia="Times New Roman" w:hAnsi="Times New Roman"/>
          <w:sz w:val="18"/>
          <w:szCs w:val="18"/>
          <w:color w:val="auto"/>
        </w:rPr>
        <w:t xml:space="preserve">” means, collectively, the Guarantee made by the Guarantors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 favor of the Secured Parties, together with each other guaranty delivered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Hazardous Materials</w:t>
      </w:r>
      <w:r>
        <w:rPr>
          <w:rFonts w:ascii="Times New Roman" w:cs="Times New Roman" w:eastAsia="Times New Roman" w:hAnsi="Times New Roman"/>
          <w:sz w:val="18"/>
          <w:szCs w:val="18"/>
          <w:color w:val="auto"/>
        </w:rPr>
        <w:t>” means (a) any petroleum products or byproducts, (b) per- and polyfluoroalkyl substances, and (c) any chemical, material, substance or waste defined or characterized as toxic, hazardous, a pollutant, or a contaminant or words of similar meaning that is prohibited, limited, or regulated by or pursuant to, or gives rise to liability under, any Environmental Law or requiring removal, remediation or reporting under any Environmental Law.</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Hedge Bank</w:t>
      </w:r>
      <w:r>
        <w:rPr>
          <w:rFonts w:ascii="Times New Roman" w:cs="Times New Roman" w:eastAsia="Times New Roman" w:hAnsi="Times New Roman"/>
          <w:sz w:val="18"/>
          <w:szCs w:val="18"/>
          <w:color w:val="auto"/>
        </w:rPr>
        <w:t>” means any Person in its capacity as a party to a Swap Contract that,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at the time it enters into a Swap Contract not prohibited under </w:t>
      </w:r>
      <w:r>
        <w:rPr>
          <w:rFonts w:ascii="Times New Roman" w:cs="Times New Roman" w:eastAsia="Times New Roman" w:hAnsi="Times New Roman"/>
          <w:sz w:val="18"/>
          <w:szCs w:val="18"/>
          <w:u w:val="single" w:color="auto"/>
          <w:color w:val="auto"/>
        </w:rPr>
        <w:t>Articles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is a Lender or an Affiliate of a Lender, or (b) at the time it (or its Affiliate) becomes a Lender, is a party to a Swap Contract not prohibited under </w:t>
      </w:r>
      <w:r>
        <w:rPr>
          <w:rFonts w:ascii="Times New Roman" w:cs="Times New Roman" w:eastAsia="Times New Roman" w:hAnsi="Times New Roman"/>
          <w:sz w:val="18"/>
          <w:szCs w:val="18"/>
          <w:u w:val="single" w:color="auto"/>
          <w:color w:val="auto"/>
        </w:rPr>
        <w:t>Articles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in each case, in its capacity as a party to such Swap Contract (even if such Person ceases to be a Lender or such Person’s Affiliate ceased to be a Lender);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in the case of a Secured Hedge Agreement with a Person who is no longer a Lender (or Affiliate of a Lender), such Person shall be considered a Hedge Bank only through the stated termination date (without extension or renewal) of such Secured Hedge Agreement and </w:t>
      </w:r>
      <w:r>
        <w:rPr>
          <w:rFonts w:ascii="Times New Roman" w:cs="Times New Roman" w:eastAsia="Times New Roman" w:hAnsi="Times New Roman"/>
          <w:sz w:val="18"/>
          <w:szCs w:val="18"/>
          <w:i w:val="1"/>
          <w:iCs w:val="1"/>
          <w:u w:val="single" w:color="auto"/>
          <w:color w:val="auto"/>
        </w:rPr>
        <w:t>provided further</w:t>
      </w:r>
      <w:r>
        <w:rPr>
          <w:rFonts w:ascii="Times New Roman" w:cs="Times New Roman" w:eastAsia="Times New Roman" w:hAnsi="Times New Roman"/>
          <w:sz w:val="18"/>
          <w:szCs w:val="18"/>
          <w:color w:val="auto"/>
        </w:rPr>
        <w:t xml:space="preserve"> that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Icahn Group</w:t>
      </w:r>
      <w:r>
        <w:rPr>
          <w:rFonts w:ascii="Times New Roman" w:cs="Times New Roman" w:eastAsia="Times New Roman" w:hAnsi="Times New Roman"/>
          <w:sz w:val="18"/>
          <w:szCs w:val="18"/>
          <w:color w:val="auto"/>
        </w:rPr>
        <w:t>” means, from time to time, (1) Carl Icahn and his siblings, his and their respective spouses and descendants (including stepchildren and adopted children) and the spouses of such descendants (including stepchildren and adopted children) (collectively, the “</w:t>
      </w:r>
      <w:r>
        <w:rPr>
          <w:rFonts w:ascii="Times New Roman" w:cs="Times New Roman" w:eastAsia="Times New Roman" w:hAnsi="Times New Roman"/>
          <w:sz w:val="18"/>
          <w:szCs w:val="18"/>
          <w:i w:val="1"/>
          <w:iCs w:val="1"/>
          <w:u w:val="single" w:color="auto"/>
          <w:color w:val="auto"/>
        </w:rPr>
        <w:t>Family Group</w:t>
      </w:r>
      <w:r>
        <w:rPr>
          <w:rFonts w:ascii="Times New Roman" w:cs="Times New Roman" w:eastAsia="Times New Roman" w:hAnsi="Times New Roman"/>
          <w:sz w:val="18"/>
          <w:szCs w:val="18"/>
          <w:color w:val="auto"/>
        </w:rPr>
        <w:t>”); (2) any trust, estate, partnership, corporation, company, limited liability company or unincorporated association or organization (each an “</w:t>
      </w:r>
      <w:r>
        <w:rPr>
          <w:rFonts w:ascii="Times New Roman" w:cs="Times New Roman" w:eastAsia="Times New Roman" w:hAnsi="Times New Roman"/>
          <w:sz w:val="18"/>
          <w:szCs w:val="18"/>
          <w:i w:val="1"/>
          <w:iCs w:val="1"/>
          <w:u w:val="single" w:color="auto"/>
          <w:color w:val="auto"/>
        </w:rPr>
        <w:t>Entity</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i w:val="1"/>
          <w:iCs w:val="1"/>
          <w:u w:val="single" w:color="auto"/>
          <w:color w:val="auto"/>
        </w:rPr>
        <w:t>Entities</w:t>
      </w:r>
      <w:r>
        <w:rPr>
          <w:rFonts w:ascii="Times New Roman" w:cs="Times New Roman" w:eastAsia="Times New Roman" w:hAnsi="Times New Roman"/>
          <w:sz w:val="18"/>
          <w:szCs w:val="18"/>
          <w:color w:val="auto"/>
        </w:rPr>
        <w:t>”) Controlled by one or more members of the Family Group; (3) any Entity over which one or more members of the Family Group, directly or indirectly, have rights that, either legally or in practical effect, enable them to make or veto significant management decisions with respect to such Entity, whether pursuant to the constituent documents of such Entity, by contract, through representation on a board of directors or other governing body of such Entity, through a management position with such Entity or in any other manner (such rights hereinafter referred to as “</w:t>
      </w:r>
      <w:r>
        <w:rPr>
          <w:rFonts w:ascii="Times New Roman" w:cs="Times New Roman" w:eastAsia="Times New Roman" w:hAnsi="Times New Roman"/>
          <w:sz w:val="18"/>
          <w:szCs w:val="18"/>
          <w:i w:val="1"/>
          <w:iCs w:val="1"/>
          <w:u w:val="single" w:color="auto"/>
          <w:color w:val="auto"/>
        </w:rPr>
        <w:t>Veto Power</w:t>
      </w:r>
      <w:r>
        <w:rPr>
          <w:rFonts w:ascii="Times New Roman" w:cs="Times New Roman" w:eastAsia="Times New Roman" w:hAnsi="Times New Roman"/>
          <w:sz w:val="18"/>
          <w:szCs w:val="18"/>
          <w:color w:val="auto"/>
        </w:rPr>
        <w:t>”); (4) the estate of any member of the Family Group; (5) any trust created (in whole or in part) by any one or more members of the Family Group; (6) any individual or Entity who receives an interest in any estate or trust listed in clauses (4) or (5), to the extent of such interest; (7) any trust or estate, substantially all the beneficiaries of which (other than charitable organizations or foundations) consist of one or more members of the Family Group; (8) any organization described in Section 501(c) of the Code, over which any one or more members of the Family Group and the trusts and estates listed in clauses (4), (5) and (7) have direct or indirect Veto Power, or to which they are substantial contributors (as such term is defined in Section 507 of the Code); (9) any organization described in Section 501(c) of the Code of which a member of the Family Group is an officer, director or trustee; or (10) any Entity, directly or indirectly</w:t>
      </w:r>
    </w:p>
    <w:p>
      <w:pPr>
        <w:spacing w:after="0" w:line="3" w:lineRule="exact"/>
        <w:rPr>
          <w:sz w:val="20"/>
          <w:szCs w:val="20"/>
          <w:color w:val="auto"/>
        </w:rPr>
      </w:pPr>
    </w:p>
    <w:p>
      <w:pPr>
        <w:ind w:firstLine="8"/>
        <w:spacing w:after="0" w:line="260"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or Controlled by or (b) a majority of the economic interests in which are owned by, or are for or accrue to the benefit of, in either case, any Person or Persons identified in clauses (1) through (9) above.</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5" w:name="page46"/>
    <w:bookmarkEnd w:id="4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purposes of this definition of Icahn Group, and for the avoidance of doubt, in addition to any other Person or Persons that may be considered to possess Control, (x) a partnership shall be considered Controlled by a general partner or managing general partner thereof, (y) a limited liability company shall be considered Controlled by a managing member of such limited liability company, and (z) a trust or estate shall be considered Controlled by any trustee, executor, personal representative, administrator or any other Person or Persons having authority over the control, management or disposition of the income and assets therefrom.</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Immaterial Subsidiary</w:t>
      </w:r>
      <w:r>
        <w:rPr>
          <w:rFonts w:ascii="Times New Roman" w:cs="Times New Roman" w:eastAsia="Times New Roman" w:hAnsi="Times New Roman"/>
          <w:sz w:val="18"/>
          <w:szCs w:val="18"/>
          <w:color w:val="auto"/>
        </w:rPr>
        <w:t xml:space="preserve">” means, at any date of determination, each Restricted Subsidiary of the Borrower that has been designated by the Borrower in writing to the Administrative Agent as an “Immaterial Subsidiary” for purposes of this Agreement (and not redesignated as a Material Subsidiary as provided below); provided that, (a) for purposes of this Agreement, at no time shall (i) the fair market value or the book value (whichever is greater) of the total assets of any Immaterial Subsidiary at the last day of the most recent Measurement Period be equal to or exceed $2,000,000, or (ii) the revenues of any Immaterial Subsidiary be equal to exceed $1,000,000 during the last twelve months preceding the Closing Date and, thereafter, during the twelve months preceding the Borrower’s most recent fiscal quarter, and (b) the Borrower shall not designate any new Immaterial Subsidiary if such designation would not comply with the provisions set forth in clause (a)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 that</w:t>
      </w:r>
      <w:r>
        <w:rPr>
          <w:rFonts w:ascii="Times New Roman" w:cs="Times New Roman" w:eastAsia="Times New Roman" w:hAnsi="Times New Roman"/>
          <w:sz w:val="18"/>
          <w:szCs w:val="18"/>
          <w:color w:val="auto"/>
        </w:rPr>
        <w:t xml:space="preserve">, the Borrower may designate and redesignate a Subsidiary as an Immaterial Subsidiary at any time, subject to the terms set forth in this definition. As of the Closing Date, each Immaterial Subsidiary of the Borrower is listed on </w:t>
      </w:r>
      <w:r>
        <w:rPr>
          <w:rFonts w:ascii="Times New Roman" w:cs="Times New Roman" w:eastAsia="Times New Roman" w:hAnsi="Times New Roman"/>
          <w:sz w:val="18"/>
          <w:szCs w:val="18"/>
          <w:u w:val="single" w:color="auto"/>
          <w:color w:val="auto"/>
        </w:rPr>
        <w:t>Schedule 1.01(e)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Increase Effective Date</w:t>
      </w:r>
      <w:r>
        <w:rPr>
          <w:rFonts w:ascii="Times New Roman" w:cs="Times New Roman" w:eastAsia="Times New Roman" w:hAnsi="Times New Roman"/>
          <w:sz w:val="18"/>
          <w:szCs w:val="18"/>
          <w:color w:val="FF0000"/>
          <w:strike w:val="1"/>
        </w:rPr>
        <w:t xml:space="preserve">” has the meaning assigned to such term in </w:t>
      </w:r>
      <w:r>
        <w:rPr>
          <w:rFonts w:ascii="Times New Roman" w:cs="Times New Roman" w:eastAsia="Times New Roman" w:hAnsi="Times New Roman"/>
          <w:sz w:val="18"/>
          <w:szCs w:val="18"/>
          <w:u w:val="single" w:color="auto"/>
          <w:color w:val="FF0000"/>
          <w:strike w:val="1"/>
        </w:rPr>
        <w:t>Section 2.16</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Increase Joinder</w:t>
      </w:r>
      <w:r>
        <w:rPr>
          <w:rFonts w:ascii="Times New Roman" w:cs="Times New Roman" w:eastAsia="Times New Roman" w:hAnsi="Times New Roman"/>
          <w:sz w:val="18"/>
          <w:szCs w:val="18"/>
          <w:color w:val="FF0000"/>
          <w:strike w:val="1"/>
        </w:rPr>
        <w:t xml:space="preserve">” has the meaning assigned to such term in </w:t>
      </w:r>
      <w:r>
        <w:rPr>
          <w:rFonts w:ascii="Times New Roman" w:cs="Times New Roman" w:eastAsia="Times New Roman" w:hAnsi="Times New Roman"/>
          <w:sz w:val="18"/>
          <w:szCs w:val="18"/>
          <w:u w:val="single" w:color="auto"/>
          <w:color w:val="FF0000"/>
          <w:strike w:val="1"/>
        </w:rPr>
        <w:t>Section 2.16(b)</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Incremental Commitments</w:t>
      </w:r>
      <w:r>
        <w:rPr>
          <w:rFonts w:ascii="Times New Roman" w:cs="Times New Roman" w:eastAsia="Times New Roman" w:hAnsi="Times New Roman"/>
          <w:sz w:val="18"/>
          <w:szCs w:val="18"/>
          <w:color w:val="FF0000"/>
          <w:strike w:val="1"/>
        </w:rPr>
        <w:t>” means Incremental Revolving Commitments and/or the Incremental Term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Incremental Revolving Commitment</w:t>
      </w:r>
      <w:r>
        <w:rPr>
          <w:rFonts w:ascii="Times New Roman" w:cs="Times New Roman" w:eastAsia="Times New Roman" w:hAnsi="Times New Roman"/>
          <w:sz w:val="18"/>
          <w:szCs w:val="18"/>
          <w:color w:val="FF0000"/>
          <w:strike w:val="1"/>
        </w:rPr>
        <w:t xml:space="preserve">” has the meaning assigned to such term in </w:t>
      </w:r>
      <w:r>
        <w:rPr>
          <w:rFonts w:ascii="Times New Roman" w:cs="Times New Roman" w:eastAsia="Times New Roman" w:hAnsi="Times New Roman"/>
          <w:sz w:val="18"/>
          <w:szCs w:val="18"/>
          <w:u w:val="single" w:color="auto"/>
          <w:color w:val="FF0000"/>
          <w:strike w:val="1"/>
        </w:rPr>
        <w:t>Section 2.16</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Incremental Term Commitment</w:t>
      </w:r>
      <w:r>
        <w:rPr>
          <w:rFonts w:ascii="Times New Roman" w:cs="Times New Roman" w:eastAsia="Times New Roman" w:hAnsi="Times New Roman"/>
          <w:sz w:val="18"/>
          <w:szCs w:val="18"/>
          <w:color w:val="FF0000"/>
          <w:strike w:val="1"/>
        </w:rPr>
        <w:t xml:space="preserve">” has the meaning assigned to such term in </w:t>
      </w:r>
      <w:r>
        <w:rPr>
          <w:rFonts w:ascii="Times New Roman" w:cs="Times New Roman" w:eastAsia="Times New Roman" w:hAnsi="Times New Roman"/>
          <w:sz w:val="18"/>
          <w:szCs w:val="18"/>
          <w:u w:val="single" w:color="auto"/>
          <w:color w:val="FF0000"/>
          <w:strike w:val="1"/>
        </w:rPr>
        <w:t>Section 2.16</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Incremental Term Loan Maturity Date</w:t>
      </w:r>
      <w:r>
        <w:rPr>
          <w:rFonts w:ascii="Times New Roman" w:cs="Times New Roman" w:eastAsia="Times New Roman" w:hAnsi="Times New Roman"/>
          <w:sz w:val="18"/>
          <w:szCs w:val="18"/>
          <w:color w:val="FF0000"/>
          <w:strike w:val="1"/>
        </w:rPr>
        <w:t xml:space="preserve">” has the meaning assigned to such term in </w:t>
      </w:r>
      <w:r>
        <w:rPr>
          <w:rFonts w:ascii="Times New Roman" w:cs="Times New Roman" w:eastAsia="Times New Roman" w:hAnsi="Times New Roman"/>
          <w:sz w:val="18"/>
          <w:szCs w:val="18"/>
          <w:u w:val="single" w:color="auto"/>
          <w:color w:val="FF0000"/>
          <w:strike w:val="1"/>
        </w:rPr>
        <w:t>Section 2.16(c).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i w:val="1"/>
          <w:iCs w:val="1"/>
          <w:u w:val="single" w:color="auto"/>
          <w:color w:val="FF0000"/>
          <w:strike w:val="1"/>
        </w:rPr>
        <w:t>Incremental Term Loans</w:t>
      </w:r>
      <w:r>
        <w:rPr>
          <w:rFonts w:ascii="Times New Roman" w:cs="Times New Roman" w:eastAsia="Times New Roman" w:hAnsi="Times New Roman"/>
          <w:sz w:val="18"/>
          <w:szCs w:val="18"/>
          <w:color w:val="FF0000"/>
          <w:strike w:val="1"/>
        </w:rPr>
        <w:t>” means any loans made pursuant to any Incremental Term Commitments.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0" w:lineRule="exact"/>
        <w:rPr>
          <w:sz w:val="20"/>
          <w:szCs w:val="20"/>
          <w:color w:val="auto"/>
        </w:rPr>
      </w:pPr>
    </w:p>
    <w:p>
      <w:pPr>
        <w:ind w:left="660" w:firstLine="644"/>
        <w:spacing w:after="0" w:line="282" w:lineRule="auto"/>
        <w:tabs>
          <w:tab w:leader="none" w:pos="15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all obligations of such Person for borrowed money and all obligations of such Person evidenced by bonds, debentures, notes, loan agreements or other similar instruments;</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(b)            all direct or contingent obligations of such Person arising under standby letters of credit, bankers’ acceptances, bank guaranties and similar instruments;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Swap Termination Value of any Swap Contract;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(d)            all obligations of such Person to pay the deferred purchase price of property or services (other than trade accounts payable and accrued obligations incurred in the ordinary course of business);</w:t>
      </w:r>
    </w:p>
    <w:p>
      <w:pPr>
        <w:spacing w:after="0" w:line="16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(other than customary reservations or retentions of title under agreements with suppliers entered into in the ordinary course of business(;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such indebtedness has not been assumed by such Person or is limited in recourse to such Person then the amount of Indebtedness of any Person will be deemed to be equal to the lesser of (x( the aggregate unpaid amount of such Indebtedness and (y( the fair market value (as determined by such Person in good faith( of the property encumbered thereby as determined by such Person in good faith;</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all Attributable Indebtedness of such Person;</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(g)            all mandatory and non-discretionary obligations of such Person to purchase, redeem, retire, defease or otherwise make any payment prior to the date that is ninety-one (91( days after the Maturity Date in respect of any Equity Interest in such Person or any other Person, valued, in the case of a redeemable preferred interest, at the greater of its voluntary or involuntary liquidation preference plus accrued and unpaid dividends, including Disqualified Preferred Stock; and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all Guarantees of such Person in respect of any of the foregoing.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Indemnified Taxes</w:t>
      </w:r>
      <w:r>
        <w:rPr>
          <w:rFonts w:ascii="Times New Roman" w:cs="Times New Roman" w:eastAsia="Times New Roman" w:hAnsi="Times New Roman"/>
          <w:sz w:val="18"/>
          <w:szCs w:val="18"/>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Intellectual Property</w:t>
      </w:r>
      <w:r>
        <w:rPr>
          <w:rFonts w:ascii="Times New Roman" w:cs="Times New Roman" w:eastAsia="Times New Roman" w:hAnsi="Times New Roman"/>
          <w:sz w:val="18"/>
          <w:szCs w:val="18"/>
          <w:color w:val="auto"/>
        </w:rPr>
        <w:t>” has the meaning set forth in the Security Agreement.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Intercompany Note</w:t>
      </w:r>
      <w:r>
        <w:rPr>
          <w:rFonts w:ascii="Times New Roman" w:cs="Times New Roman" w:eastAsia="Times New Roman" w:hAnsi="Times New Roman"/>
          <w:sz w:val="18"/>
          <w:szCs w:val="18"/>
          <w:color w:val="auto"/>
        </w:rPr>
        <w:t>” means that certain Global Intercompany Note, dated as of the Closing Date, by and among the Borrower and certain of its Subsidiaries party thereto.</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Interest Payment Date</w:t>
      </w:r>
      <w:r>
        <w:rPr>
          <w:rFonts w:ascii="Times New Roman" w:cs="Times New Roman" w:eastAsia="Times New Roman" w:hAnsi="Times New Roman"/>
          <w:sz w:val="18"/>
          <w:szCs w:val="18"/>
          <w:color w:val="auto"/>
        </w:rPr>
        <w:t xml:space="preserve">” means, (a) as to any Term SOFR Loan, the last day of each Interest Period applicable to such Loan and the Maturity Date of the Facility under which such Loan was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any Interest Period for a Term SOFR Loan exceeds three (3) months, the respective dates that fall every three (3) months after the beginning of such Interest Period shall also be Interest Payment Dates; and (b) as to any Base Rate Loan </w:t>
      </w:r>
      <w:r>
        <w:rPr>
          <w:rFonts w:ascii="Times New Roman" w:cs="Times New Roman" w:eastAsia="Times New Roman" w:hAnsi="Times New Roman"/>
          <w:sz w:val="18"/>
          <w:szCs w:val="18"/>
          <w:color w:val="FF0000"/>
          <w:strike w:val="1"/>
        </w:rPr>
        <w:t>or Swingline Loan</w:t>
      </w:r>
      <w:r>
        <w:rPr>
          <w:rFonts w:ascii="Times New Roman" w:cs="Times New Roman" w:eastAsia="Times New Roman" w:hAnsi="Times New Roman"/>
          <w:sz w:val="18"/>
          <w:szCs w:val="18"/>
          <w:color w:val="auto"/>
        </w:rPr>
        <w:t xml:space="preserve">, the last Business Day of each March, June, September and December and the Maturity Date of the Facility under which such Loan was made </w:t>
      </w:r>
      <w:r>
        <w:rPr>
          <w:rFonts w:ascii="Times New Roman" w:cs="Times New Roman" w:eastAsia="Times New Roman" w:hAnsi="Times New Roman"/>
          <w:sz w:val="18"/>
          <w:szCs w:val="18"/>
          <w:color w:val="FF0000"/>
          <w:strike w:val="1"/>
        </w:rPr>
        <w:t>(with Swingline Loans being deemed made under the Revolving Facility for purposes of this definition)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Interest Period</w:t>
      </w:r>
      <w:r>
        <w:rPr>
          <w:rFonts w:ascii="Times New Roman" w:cs="Times New Roman" w:eastAsia="Times New Roman" w:hAnsi="Times New Roman"/>
          <w:sz w:val="18"/>
          <w:szCs w:val="18"/>
          <w:color w:val="auto"/>
        </w:rPr>
        <w:t>” means as to each Term SOFR Loan, the period commencing on the date such Term SOFR Loan is disbursed or converted to or continued as a Term SOFR Loan and ending on the date one, three or six months thereafter, as selected by the Borrower in its Loan Notice, or such other period that is twelve months or less requested by the Borrower and consented to by all the Appropriate Lenders and the Administrative Agent (in the case of each requested Interest Period, subject to availability); provided that:</w:t>
      </w:r>
    </w:p>
    <w:p>
      <w:pPr>
        <w:spacing w:after="0" w:line="18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no Interest Period shall extend beyond the Maturity Date of the Facility under which such Loan was made.</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which constitute all or substantially all of the assets of such Person or of a division or line of business of such Person. For purposes of covenant compliance, the amount of any Investment shall be the amount actually invested, without adjustment for subsequent increases or decreases in the value of such Investment. The amount of any Investment will be the original cost of such Investment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(x) the cost of all additions thereto, without any adjustments for increases or decreases in value, or write-ups, write-downs or write-offs with respect to such Investment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 the amount of any dividend, distribution, interest payment, return of capital, repayment or other amount received in cash by the Borrower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in respect of such Investment.</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Involuntary Disposition</w:t>
      </w:r>
      <w:r>
        <w:rPr>
          <w:rFonts w:ascii="Times New Roman" w:cs="Times New Roman" w:eastAsia="Times New Roman" w:hAnsi="Times New Roman"/>
          <w:sz w:val="18"/>
          <w:szCs w:val="18"/>
          <w:color w:val="auto"/>
        </w:rPr>
        <w:t>” means any loss of, damage to or destruction of, or any condemnation or other taking for public use of, any property of any Loan Party or any Subsidiary.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ISP</w:t>
      </w:r>
      <w:r>
        <w:rPr>
          <w:rFonts w:ascii="Times New Roman" w:cs="Times New Roman" w:eastAsia="Times New Roman" w:hAnsi="Times New Roman"/>
          <w:sz w:val="18"/>
          <w:szCs w:val="18"/>
          <w:color w:val="auto"/>
        </w:rPr>
        <w:t>” means the International Standby Practices, International Chamber of Commerce Publication No. 590 (or such later version thereof as may be in effect at the applicable time).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8" w:name="page49"/>
    <w:bookmarkEnd w:id="48"/>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Joinder Agreement</w:t>
      </w:r>
      <w:r>
        <w:rPr>
          <w:rFonts w:ascii="Times New Roman" w:cs="Times New Roman" w:eastAsia="Times New Roman" w:hAnsi="Times New Roman"/>
          <w:sz w:val="18"/>
          <w:szCs w:val="18"/>
          <w:color w:val="auto"/>
        </w:rPr>
        <w:t xml:space="preserve">” means a joinder agreement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executed and delivered in accordance with the provisions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Latest Maturity Date</w:t>
      </w:r>
      <w:r>
        <w:rPr>
          <w:rFonts w:ascii="Times New Roman" w:cs="Times New Roman" w:eastAsia="Times New Roman" w:hAnsi="Times New Roman"/>
          <w:sz w:val="18"/>
          <w:szCs w:val="18"/>
          <w:color w:val="FF0000"/>
          <w:strike w:val="1"/>
        </w:rPr>
        <w:t>” shall mean, at any time, the latest Maturity Date applicable to any Term Loan hereunder at such time, including the latest maturity date of any Incremental Term Loan, in each case as extended in accordance with this Agreement from time to time.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C Advance</w:t>
      </w:r>
      <w:r>
        <w:rPr>
          <w:rFonts w:ascii="Times New Roman" w:cs="Times New Roman" w:eastAsia="Times New Roman" w:hAnsi="Times New Roman"/>
          <w:sz w:val="18"/>
          <w:szCs w:val="18"/>
          <w:color w:val="auto"/>
        </w:rPr>
        <w:t>” means, with respect to each Revolving Lender, such Lender’s funding of its participation in any L/C Borrowing in accordance with its Applicable Revolving Percentage.</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refinanced as a Revolving Borrowing.</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C Commitment</w:t>
      </w:r>
      <w:r>
        <w:rPr>
          <w:rFonts w:ascii="Times New Roman" w:cs="Times New Roman" w:eastAsia="Times New Roman" w:hAnsi="Times New Roman"/>
          <w:sz w:val="18"/>
          <w:szCs w:val="18"/>
          <w:color w:val="auto"/>
        </w:rPr>
        <w:t xml:space="preserve">” means, with respect to the L/C Issuer, the commitment of the L/C Issuer to issue Letters of Credit hereunder. The initial amount of the L/C Issuer’s Letter of Credit Commitment is set forth on </w:t>
      </w:r>
      <w:r>
        <w:rPr>
          <w:rFonts w:ascii="Times New Roman" w:cs="Times New Roman" w:eastAsia="Times New Roman" w:hAnsi="Times New Roman"/>
          <w:sz w:val="18"/>
          <w:szCs w:val="18"/>
          <w:u w:val="single" w:color="auto"/>
          <w:color w:val="auto"/>
        </w:rPr>
        <w:t>Schedule 2.03</w:t>
      </w:r>
      <w:r>
        <w:rPr>
          <w:rFonts w:ascii="Times New Roman" w:cs="Times New Roman" w:eastAsia="Times New Roman" w:hAnsi="Times New Roman"/>
          <w:sz w:val="18"/>
          <w:szCs w:val="18"/>
          <w:color w:val="auto"/>
        </w:rPr>
        <w:t>. The Letter of Credit Commitment of the L/C Issuer may be modified from time to time by agreement between the L/C Issuer and the Borrower, and notified to the Administrative Agent.</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L/C Disbursement</w:t>
      </w:r>
      <w:r>
        <w:rPr>
          <w:rFonts w:ascii="Times New Roman" w:cs="Times New Roman" w:eastAsia="Times New Roman" w:hAnsi="Times New Roman"/>
          <w:sz w:val="18"/>
          <w:szCs w:val="18"/>
          <w:color w:val="auto"/>
        </w:rPr>
        <w:t>” means any payment made by the L/C Issuer pursuant to a Letter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L</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i w:val="1"/>
          <w:iCs w:val="1"/>
          <w:u w:val="single" w:color="auto"/>
          <w:color w:val="auto"/>
        </w:rPr>
        <w:t>C Issuer</w:t>
      </w:r>
      <w:r>
        <w:rPr>
          <w:rFonts w:ascii="Times New Roman" w:cs="Times New Roman" w:eastAsia="Times New Roman" w:hAnsi="Times New Roman"/>
          <w:sz w:val="17"/>
          <w:szCs w:val="17"/>
          <w:color w:val="auto"/>
        </w:rPr>
        <w:t>” means Bank of America in its capacity as issuer of Letters of Credit hereunder, or any successor issuer of Letters of Credit hereunder.</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C Obligations</w:t>
      </w:r>
      <w:r>
        <w:rPr>
          <w:rFonts w:ascii="Times New Roman" w:cs="Times New Roman" w:eastAsia="Times New Roman" w:hAnsi="Times New Roman"/>
          <w:sz w:val="18"/>
          <w:szCs w:val="18"/>
          <w:color w:val="auto"/>
        </w:rPr>
        <w:t xml:space="preserve">” means, as at any date of determination, the aggregate amount available to be drawn under all outstanding Letters of Credit plus the aggregate amount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LCA Test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Lender</w:t>
      </w:r>
      <w:r>
        <w:rPr>
          <w:rFonts w:ascii="Times New Roman" w:cs="Times New Roman" w:eastAsia="Times New Roman" w:hAnsi="Times New Roman"/>
          <w:sz w:val="18"/>
          <w:szCs w:val="18"/>
          <w:color w:val="auto"/>
        </w:rPr>
        <w:t xml:space="preserve">” means each of the Persons identified as a “Lender” on the signature pages hereto, each other Person that becomes a “Lender” in accordance with this Agreement and, their successors and assigns </w:t>
      </w:r>
      <w:r>
        <w:rPr>
          <w:rFonts w:ascii="Times New Roman" w:cs="Times New Roman" w:eastAsia="Times New Roman" w:hAnsi="Times New Roman"/>
          <w:sz w:val="18"/>
          <w:szCs w:val="18"/>
          <w:color w:val="FF0000"/>
          <w:strike w:val="1"/>
        </w:rPr>
        <w:t>and, unless the context requires otherwise, includes the Swingline Lender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Lender 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auto"/>
        </w:rPr>
        <w:t>Lender Recipient Parties</w:t>
      </w:r>
      <w:r>
        <w:rPr>
          <w:rFonts w:ascii="Times New Roman" w:cs="Times New Roman" w:eastAsia="Times New Roman" w:hAnsi="Times New Roman"/>
          <w:sz w:val="18"/>
          <w:szCs w:val="18"/>
          <w:color w:val="auto"/>
        </w:rPr>
        <w:t>” mean, collectively, the Lenders</w:t>
      </w:r>
      <w:r>
        <w:rPr>
          <w:rFonts w:ascii="Times New Roman" w:cs="Times New Roman" w:eastAsia="Times New Roman" w:hAnsi="Times New Roman"/>
          <w:sz w:val="18"/>
          <w:szCs w:val="18"/>
          <w:color w:val="FF0000"/>
          <w:strike w:val="1"/>
        </w:rPr>
        <w:t>, the Swingline Lender</w:t>
      </w:r>
      <w:r>
        <w:rPr>
          <w:rFonts w:ascii="Times New Roman" w:cs="Times New Roman" w:eastAsia="Times New Roman" w:hAnsi="Times New Roman"/>
          <w:sz w:val="18"/>
          <w:szCs w:val="18"/>
          <w:color w:val="auto"/>
        </w:rPr>
        <w:t xml:space="preserve"> and the L/C Issuer.</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9" w:name="page50"/>
    <w:bookmarkEnd w:id="49"/>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Lending Office</w:t>
      </w:r>
      <w:r>
        <w:rPr>
          <w:rFonts w:ascii="Times New Roman" w:cs="Times New Roman" w:eastAsia="Times New Roman" w:hAnsi="Times New Roman"/>
          <w:sz w:val="18"/>
          <w:szCs w:val="18"/>
          <w:color w:val="auto"/>
        </w:rPr>
        <w:t>” 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Letter of Credit</w:t>
      </w:r>
      <w:r>
        <w:rPr>
          <w:rFonts w:ascii="Times New Roman" w:cs="Times New Roman" w:eastAsia="Times New Roman" w:hAnsi="Times New Roman"/>
          <w:sz w:val="18"/>
          <w:szCs w:val="18"/>
          <w:color w:val="auto"/>
        </w:rPr>
        <w:t>” means any standby letter of credit issued hereunder and shall include the Existing Letters of Credit.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L/C Issuer.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Letter of Credit Expiration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Letter of Credit Sublimit</w:t>
      </w:r>
      <w:r>
        <w:rPr>
          <w:rFonts w:ascii="Times New Roman" w:cs="Times New Roman" w:eastAsia="Times New Roman" w:hAnsi="Times New Roman"/>
          <w:sz w:val="18"/>
          <w:szCs w:val="18"/>
          <w:color w:val="auto"/>
        </w:rPr>
        <w:t>” means, as of any date of determination, an amount equal to the lesser of (a) $5,000,000 and (b) the Revolving Facility.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Letter of Credit Sublimit is part of, and not in addition to, the Revolving Facility.</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Limited Condition Acquisition</w:t>
      </w:r>
      <w:r>
        <w:rPr>
          <w:rFonts w:ascii="Times New Roman" w:cs="Times New Roman" w:eastAsia="Times New Roman" w:hAnsi="Times New Roman"/>
          <w:sz w:val="18"/>
          <w:szCs w:val="18"/>
          <w:color w:val="auto"/>
        </w:rPr>
        <w:t>” means a Permitted Acquisition that is not conditioned on the availability of, or on obtaining, third party financing.</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Liquidity</w:t>
      </w:r>
      <w:r>
        <w:rPr>
          <w:rFonts w:ascii="Times New Roman" w:cs="Times New Roman" w:eastAsia="Times New Roman" w:hAnsi="Times New Roman"/>
          <w:sz w:val="18"/>
          <w:szCs w:val="18"/>
          <w:color w:val="auto"/>
        </w:rPr>
        <w:t xml:space="preserve">” means, on any date of determination, an amount equal to the excess of (x) the aggregate Revolving Commitments of all Revolving Lenders as of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of cash and Cash Equivalents</w:t>
      </w:r>
      <w:r>
        <w:rPr>
          <w:rFonts w:ascii="Times New Roman" w:cs="Times New Roman" w:eastAsia="Times New Roman" w:hAnsi="Times New Roman"/>
          <w:sz w:val="18"/>
          <w:szCs w:val="18"/>
          <w:u w:val="single" w:color="auto"/>
          <w:color w:val="0000FF"/>
        </w:rPr>
        <w:t>, as determined on a bank balance basis (excluding checks issued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collection float),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held by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Borrower and its Restricted Subsidiaries</w:t>
      </w:r>
      <w:r>
        <w:rPr>
          <w:rFonts w:ascii="Times New Roman" w:cs="Times New Roman" w:eastAsia="Times New Roman" w:hAnsi="Times New Roman"/>
          <w:sz w:val="18"/>
          <w:szCs w:val="18"/>
          <w:u w:val="single" w:color="auto"/>
          <w:color w:val="0000FF"/>
        </w:rPr>
        <w:t>U.S. Loan Parties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such date (which shall be determined without giving Pro Forma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Effect to the proceeds of any Indebtedness incurred on such date) that are not restricted </w:t>
      </w:r>
      <w:r>
        <w:rPr>
          <w:rFonts w:ascii="Times New Roman" w:cs="Times New Roman" w:eastAsia="Times New Roman" w:hAnsi="Times New Roman"/>
          <w:sz w:val="18"/>
          <w:szCs w:val="18"/>
          <w:i w:val="1"/>
          <w:iCs w:val="1"/>
          <w:color w:val="000000"/>
        </w:rPr>
        <w:t>over</w:t>
      </w:r>
      <w:r>
        <w:rPr>
          <w:rFonts w:ascii="Times New Roman" w:cs="Times New Roman" w:eastAsia="Times New Roman" w:hAnsi="Times New Roman"/>
          <w:sz w:val="18"/>
          <w:szCs w:val="18"/>
          <w:color w:val="000000"/>
        </w:rPr>
        <w:t xml:space="preserve"> (y) the Outstanding Amount of Revolving Loans and L/C Obligations.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Loan</w:t>
      </w:r>
      <w:r>
        <w:rPr>
          <w:rFonts w:ascii="Times New Roman" w:cs="Times New Roman" w:eastAsia="Times New Roman" w:hAnsi="Times New Roman"/>
          <w:sz w:val="18"/>
          <w:szCs w:val="18"/>
          <w:color w:val="auto"/>
        </w:rPr>
        <w:t xml:space="preserve">” means an extension of credit by a Lender to the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Term Loan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a Revolving Loan </w:t>
      </w:r>
      <w:r>
        <w:rPr>
          <w:rFonts w:ascii="Times New Roman" w:cs="Times New Roman" w:eastAsia="Times New Roman" w:hAnsi="Times New Roman"/>
          <w:sz w:val="18"/>
          <w:szCs w:val="18"/>
          <w:color w:val="FF0000"/>
          <w:strike w:val="1"/>
        </w:rPr>
        <w:t>or a Swingline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Loan</w:t>
      </w:r>
      <w:r>
        <w:rPr>
          <w:rFonts w:ascii="Times New Roman" w:cs="Times New Roman" w:eastAsia="Times New Roman" w:hAnsi="Times New Roman"/>
          <w:sz w:val="18"/>
          <w:szCs w:val="18"/>
          <w:color w:val="000000"/>
        </w:rPr>
        <w:t>.</w:t>
      </w: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Loan Documents</w:t>
      </w:r>
      <w:r>
        <w:rPr>
          <w:rFonts w:ascii="Times New Roman" w:cs="Times New Roman" w:eastAsia="Times New Roman" w:hAnsi="Times New Roman"/>
          <w:sz w:val="18"/>
          <w:szCs w:val="18"/>
          <w:color w:val="auto"/>
        </w:rPr>
        <w:t xml:space="preserve">” means, collectively, (a) this Agreement, (b) the Notes, (c) the Guaranty, (d) the Collateral Documents, (e) the Fee Letter, (f) the Loan Purchase Agreement, (g) each Issuer Document, (h) each Joinder Agreement, (i)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(j) all other certificates, agreements, documents and instruments executed and delivered, in each case, by or on behalf of any Loan Party pursuant to the foregoing (but specifically excluding any Secured Hedge Agreement or any Secured Cash Management Agreement) and any amendments, modifications or supplements thereto or to any other Loan Document or waivers hereof or to any other Loan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“Loan Documents” shall mean this Agreement, the Guaranty and the Collateral Documents.</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0" w:name="page51"/>
    <w:bookmarkEnd w:id="5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Loan Notice</w:t>
      </w:r>
      <w:r>
        <w:rPr>
          <w:rFonts w:ascii="Times New Roman" w:cs="Times New Roman" w:eastAsia="Times New Roman" w:hAnsi="Times New Roman"/>
          <w:sz w:val="18"/>
          <w:szCs w:val="18"/>
          <w:color w:val="auto"/>
        </w:rPr>
        <w:t xml:space="preserve">” means a notice of (a) a Borrowing, (b) a conversion of Loans from one Type to the other, or (c) a continuation of Term SOFR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if in writing, shall be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Loan Parties</w:t>
      </w:r>
      <w:r>
        <w:rPr>
          <w:rFonts w:ascii="Times New Roman" w:cs="Times New Roman" w:eastAsia="Times New Roman" w:hAnsi="Times New Roman"/>
          <w:sz w:val="18"/>
          <w:szCs w:val="18"/>
          <w:color w:val="auto"/>
        </w:rPr>
        <w:t>” means, collectively, the Borrower and each Guarantor.</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Loan Purchase Agreement</w:t>
      </w:r>
      <w:r>
        <w:rPr>
          <w:rFonts w:ascii="Times New Roman" w:cs="Times New Roman" w:eastAsia="Times New Roman" w:hAnsi="Times New Roman"/>
          <w:sz w:val="18"/>
          <w:szCs w:val="18"/>
          <w:color w:val="auto"/>
        </w:rPr>
        <w:t>” means the Loan Purchase Agreement, dated as of the Closing Date, by and between AEPC and Bank of America, and acknowledged by the Borrower.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Maintenance Capital Expenditures</w:t>
      </w:r>
      <w:r>
        <w:rPr>
          <w:rFonts w:ascii="Times New Roman" w:cs="Times New Roman" w:eastAsia="Times New Roman" w:hAnsi="Times New Roman"/>
          <w:sz w:val="18"/>
          <w:szCs w:val="18"/>
          <w:color w:val="auto"/>
        </w:rPr>
        <w:t>” means Capital Expenditures that are made in connection with the replacement, substitution, restoration or repair of existing assets in order to maintain existing operational capacities (it being agreed that Maintenance Capital Expenditures does not include Capital Expenditures made in connection with an acquisition of a new asset that seeks to expand existing operational capacities).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March 2025 Equity Issuance</w:t>
      </w:r>
      <w:r>
        <w:rPr>
          <w:rFonts w:ascii="Times New Roman" w:cs="Times New Roman" w:eastAsia="Times New Roman" w:hAnsi="Times New Roman"/>
          <w:sz w:val="18"/>
          <w:szCs w:val="18"/>
          <w:color w:val="auto"/>
        </w:rPr>
        <w:t>” means the issuance of 7,142,858 shares of capital stock of the Borrower, at a purchase price equal to $2.10 per share, completed on March 21,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Margin Stock</w:t>
      </w:r>
      <w:r>
        <w:rPr>
          <w:rFonts w:ascii="Times New Roman" w:cs="Times New Roman" w:eastAsia="Times New Roman" w:hAnsi="Times New Roman"/>
          <w:sz w:val="18"/>
          <w:szCs w:val="18"/>
          <w:color w:val="auto"/>
        </w:rPr>
        <w:t>” means the meaning assigned to such term in Regulation U.</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Master Agreement</w:t>
      </w:r>
      <w:r>
        <w:rPr>
          <w:rFonts w:ascii="Times New Roman" w:cs="Times New Roman" w:eastAsia="Times New Roman" w:hAnsi="Times New Roman"/>
          <w:sz w:val="18"/>
          <w:szCs w:val="18"/>
          <w:color w:val="auto"/>
        </w:rPr>
        <w:t>” has the meaning set forth in the definition of “Swap Contract.”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Material Adverse Effect</w:t>
      </w:r>
      <w:r>
        <w:rPr>
          <w:rFonts w:ascii="Times New Roman" w:cs="Times New Roman" w:eastAsia="Times New Roman" w:hAnsi="Times New Roman"/>
          <w:sz w:val="18"/>
          <w:szCs w:val="18"/>
          <w:color w:val="auto"/>
        </w:rPr>
        <w:t>” means (a) a material adverse effect on the business, assets, operations, condition (financial or otherwise) or operating results of the Borrower and the Restricted Subsidiaries, taken as a whole; (b) a material impairment of the ability of the Loan Parties, taken as a whole, to perform their material obligations under the Loan Documents; (c) a material impairment of the validity or enforceability of any of the Loan Documents or the rights and remedies of, or benefits available to, the Secured Parties or the Administrative Agent under any Loan Document, or (d) a material adverse effect on the validity, perfection or priority of the Liens granted pursuant to any of the Collateral Documents.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Material Indebtedness</w:t>
      </w:r>
      <w:r>
        <w:rPr>
          <w:rFonts w:ascii="Times New Roman" w:cs="Times New Roman" w:eastAsia="Times New Roman" w:hAnsi="Times New Roman"/>
          <w:sz w:val="18"/>
          <w:szCs w:val="18"/>
          <w:color w:val="auto"/>
        </w:rPr>
        <w:t>” shall mean any Indebtedness (other than the Obligations hereunder), or obligations in respect of one or more Swap Contracts, whenever incurred or arising, of any one or more of the Borrower or any Restricted Subsidiary in an aggregate principal amount exceeding $7,500,000. For purposes of determining Material Indebtedness, the “principal amount” of the obligations of the Borrower or any Restricted Subsidiary in respect of any Swap Contract at any time shall be the maximum aggregate amount (giving effect to any netting agreements) that the Borrower or such Restricted Subsidiary would be required to pay if such Swap Contract were terminated at such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Material Subsidiary</w:t>
      </w:r>
      <w:r>
        <w:rPr>
          <w:rFonts w:ascii="Times New Roman" w:cs="Times New Roman" w:eastAsia="Times New Roman" w:hAnsi="Times New Roman"/>
          <w:sz w:val="18"/>
          <w:szCs w:val="18"/>
          <w:color w:val="auto"/>
        </w:rPr>
        <w:t>” means any Restricted Subsidiary other than an Immaterial Subsidiary.</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Maturity Date</w:t>
      </w:r>
      <w:r>
        <w:rPr>
          <w:rFonts w:ascii="Times New Roman" w:cs="Times New Roman" w:eastAsia="Times New Roman" w:hAnsi="Times New Roman"/>
          <w:sz w:val="18"/>
          <w:szCs w:val="18"/>
          <w:color w:val="auto"/>
        </w:rPr>
        <w:t xml:space="preserve">” means (a) with respect to the Revolving Facility, August 13, </w:t>
      </w:r>
      <w:r>
        <w:rPr>
          <w:rFonts w:ascii="Times New Roman" w:cs="Times New Roman" w:eastAsia="Times New Roman" w:hAnsi="Times New Roman"/>
          <w:sz w:val="18"/>
          <w:szCs w:val="18"/>
          <w:color w:val="FF0000"/>
          <w:strike w:val="1"/>
        </w:rPr>
        <w:t>2026</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and (b) with respect to the Term Facility, August 13, </w:t>
      </w:r>
      <w:r>
        <w:rPr>
          <w:rFonts w:ascii="Times New Roman" w:cs="Times New Roman" w:eastAsia="Times New Roman" w:hAnsi="Times New Roman"/>
          <w:sz w:val="18"/>
          <w:szCs w:val="18"/>
          <w:color w:val="FF0000"/>
          <w:strike w:val="1"/>
        </w:rPr>
        <w:t>2026</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u w:val="single" w:color="auto"/>
          <w:color w:val="000000"/>
        </w:rPr>
        <w:t>however</w:t>
      </w:r>
      <w:r>
        <w:rPr>
          <w:rFonts w:ascii="Times New Roman" w:cs="Times New Roman" w:eastAsia="Times New Roman" w:hAnsi="Times New Roman"/>
          <w:sz w:val="18"/>
          <w:szCs w:val="18"/>
          <w:color w:val="000000"/>
        </w:rPr>
        <w:t>, that, in each case, if such date is not a Business Day, the Maturity Date shall be the next preceding Business Day.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Maximum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Measurement Period</w:t>
      </w:r>
      <w:r>
        <w:rPr>
          <w:rFonts w:ascii="Times New Roman" w:cs="Times New Roman" w:eastAsia="Times New Roman" w:hAnsi="Times New Roman"/>
          <w:sz w:val="18"/>
          <w:szCs w:val="18"/>
          <w:color w:val="auto"/>
        </w:rPr>
        <w:t>” means, for any date of determination under this Agreement, the four consecutive fiscal quarters of the Borrower most recently ended as of such date of determination</w:t>
      </w:r>
      <w:r>
        <w:rPr>
          <w:rFonts w:ascii="Times New Roman" w:cs="Times New Roman" w:eastAsia="Times New Roman" w:hAnsi="Times New Roman"/>
          <w:sz w:val="18"/>
          <w:szCs w:val="18"/>
          <w:u w:val="single" w:color="auto"/>
          <w:color w:val="0000FF"/>
        </w:rPr>
        <w:t>, subject to certain calculations made on an Annualized Basis as set forth in the definitions of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Fixed Charge Coverage Ratio” and “Consolidated Leverage Ratio”.</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1" w:name="page52"/>
    <w:bookmarkEnd w:id="51"/>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Minimum Collateral Amount</w:t>
      </w:r>
      <w:r>
        <w:rPr>
          <w:rFonts w:ascii="Times New Roman" w:cs="Times New Roman" w:eastAsia="Times New Roman" w:hAnsi="Times New Roman"/>
          <w:sz w:val="18"/>
          <w:szCs w:val="18"/>
          <w:color w:val="auto"/>
        </w:rPr>
        <w:t>” means, at any time, (a) with respect to Cash Collateral consisting of cash or deposit account balances, an amount equal to 103% of the Fronting Exposure of the L/C Issuer with respect to Letters of Credit issued and outstanding at such time and (b) otherwise, an amount determined by the Administrative Agent and the L/C Issuer in their sole discretion.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Moody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w:t>
      </w:r>
      <w:r>
        <w:rPr>
          <w:rFonts w:ascii="Times New Roman" w:cs="Times New Roman" w:eastAsia="Times New Roman" w:hAnsi="Times New Roman"/>
          <w:sz w:val="18"/>
          <w:szCs w:val="18"/>
          <w:i w:val="1"/>
          <w:iCs w:val="1"/>
          <w:u w:val="single" w:color="auto"/>
          <w:color w:val="auto"/>
        </w:rPr>
        <w:t>Net Cash Proceeds</w:t>
      </w:r>
      <w:r>
        <w:rPr>
          <w:rFonts w:ascii="Times New Roman" w:cs="Times New Roman" w:eastAsia="Times New Roman" w:hAnsi="Times New Roman"/>
          <w:sz w:val="18"/>
          <w:szCs w:val="18"/>
          <w:color w:val="auto"/>
        </w:rPr>
        <w:t>” means (a) with respect to any Disposition or Involuntary Disposition, the cash proceeds actually received by the Borrower or any of its Restricted Subsidiaries (including cash proceeds subsequently received (as and when received) in respect of non-cash consideration initially received and valued at the initial principal amount thereof in the case of non-cash proceeds consisting of notes or other debt securities and valued at fair market value at the time of such Disposition in the case of other non-cash proceeds), net of (i) selling expenses (including broker’s fees or commissions, accountants’ fees, investment banking fees, consulting fees, reasonable and documented legal fees and any other customary reasonable and documented fees and out-of-pocket expenses actually incurred in connection therewith, transfer and similar taxes), (ii) amounts provided as a reserve, in accordance with GAAP, against any liabilities, for any taxes, or under any indemnification obligation or purchase price adjustment associated with such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such amounts shall constitute Net Cash Proceeds), (iii) the principal amount, premium or penalty, if any, interest and other amounts on any Indebtedness for borrowed money, Capital Lease Obligations or Synthetic Lease Obligations which are secured by the assets sold in such Disposition sold and which are required to be repaid with such proceeds (other than any such Indebtedness assumed by the purchaser of such assets) and (iv) any amounts received by the Borrower or any of its Restricted Subsidiaries which would not at the applicable time of determination be permitted to be distributed to its immediate parent, the Borrower or the Administrative Agent by operation of the terms of such receiving party’s charter or any agreement, instrument, judgment, decree, statute, rule or governmental regulation applicable to such receiving party, and (b) with respect to any issuance or incurrence of Indebtedness for borrowed money or any Equity Issuance, the cash proceeds thereof actually received by the Borrower or such Restricted Subsidiary, net of all attorneys’ fees, consulting fees, investment banking fees, taxes and other customary fees, underwriting discounts, commissions, costs and other expenses incurred in connection therewith.</w:t>
      </w:r>
    </w:p>
    <w:p>
      <w:pPr>
        <w:spacing w:after="0" w:line="19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Non-Capped Non-Cash Charges</w:t>
      </w:r>
      <w:r>
        <w:rPr>
          <w:rFonts w:ascii="Times New Roman" w:cs="Times New Roman" w:eastAsia="Times New Roman" w:hAnsi="Times New Roman"/>
          <w:sz w:val="18"/>
          <w:szCs w:val="18"/>
          <w:u w:val="single" w:color="auto"/>
          <w:color w:val="0000FF"/>
        </w:rPr>
        <w:t>” means, for any period, with respect to the Borrower and its Restricted Subsidiaries,non-cash charges (or gains) for (i) long-term asset impairment charges (e.g., goodwill, intangible assets and plant, property and equipment), including the write down of such assets,</w:t>
      </w:r>
    </w:p>
    <w:p>
      <w:pPr>
        <w:ind w:right="20" w:firstLine="8"/>
        <w:spacing w:after="0" w:line="260" w:lineRule="auto"/>
        <w:tabs>
          <w:tab w:leader="none" w:pos="266" w:val="left"/>
        </w:tabs>
        <w:numPr>
          <w:ilvl w:val="0"/>
          <w:numId w:val="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unrealized lower of cost or market losses and gains on inventory, (iii) non-cash charges related to termination of pension plans and (iv) long-term losses and gains on the disposal of assets.</w:t>
      </w:r>
    </w:p>
    <w:p>
      <w:pPr>
        <w:spacing w:after="0" w:line="179"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Non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(b) has been approved by the Required Lenders.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Non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Non-Extension 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Note</w:t>
      </w:r>
      <w:r>
        <w:rPr>
          <w:rFonts w:ascii="Times New Roman" w:cs="Times New Roman" w:eastAsia="Times New Roman" w:hAnsi="Times New Roman"/>
          <w:sz w:val="18"/>
          <w:szCs w:val="18"/>
          <w:color w:val="auto"/>
        </w:rPr>
        <w:t>” means a Term Note or a Revolving Note, as the context may require.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Notice of Loan Prepayment</w:t>
      </w:r>
      <w:r>
        <w:rPr>
          <w:rFonts w:ascii="Times New Roman" w:cs="Times New Roman" w:eastAsia="Times New Roman" w:hAnsi="Times New Roman"/>
          <w:sz w:val="18"/>
          <w:szCs w:val="18"/>
          <w:color w:val="auto"/>
        </w:rPr>
        <w:t xml:space="preserve">” means a notice of prepayment with respect to a Loan, which shall be substantially in the form of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Obligations</w:t>
      </w:r>
      <w:r>
        <w:rPr>
          <w:rFonts w:ascii="Times New Roman" w:cs="Times New Roman" w:eastAsia="Times New Roman" w:hAnsi="Times New Roman"/>
          <w:sz w:val="18"/>
          <w:szCs w:val="18"/>
          <w:color w:val="auto"/>
        </w:rPr>
        <w:t xml:space="preserve">” means (a) all advances to, and debts, liabilities, obligations, covenants and duties of, any Loan Party arising under any Loan Document or otherwise with respect to any Loan, or Letter of Credit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without limiting the foregoing, the Obligations of a Guarantor shall exclude any Excluded Swap Obligations with respect to such Guarantor.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OID</w:t>
      </w:r>
      <w:r>
        <w:rPr>
          <w:rFonts w:ascii="Times New Roman" w:cs="Times New Roman" w:eastAsia="Times New Roman" w:hAnsi="Times New Roman"/>
          <w:sz w:val="18"/>
          <w:szCs w:val="18"/>
          <w:color w:val="FF0000"/>
          <w:strike w:val="1"/>
        </w:rPr>
        <w:t xml:space="preserve">” has the meaning specified in </w:t>
      </w:r>
      <w:r>
        <w:rPr>
          <w:rFonts w:ascii="Times New Roman" w:cs="Times New Roman" w:eastAsia="Times New Roman" w:hAnsi="Times New Roman"/>
          <w:sz w:val="18"/>
          <w:szCs w:val="18"/>
          <w:u w:val="single" w:color="auto"/>
          <w:color w:val="FF0000"/>
          <w:strike w:val="1"/>
        </w:rPr>
        <w:t>Section 2.16(b)</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Organization Documents</w:t>
      </w:r>
      <w:r>
        <w:rPr>
          <w:rFonts w:ascii="Times New Roman" w:cs="Times New Roman" w:eastAsia="Times New Roman" w:hAnsi="Times New Roman"/>
          <w:sz w:val="18"/>
          <w:szCs w:val="18"/>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Osceola Facility</w:t>
      </w:r>
      <w:r>
        <w:rPr>
          <w:rFonts w:ascii="Times New Roman" w:cs="Times New Roman" w:eastAsia="Times New Roman" w:hAnsi="Times New Roman"/>
          <w:sz w:val="18"/>
          <w:szCs w:val="18"/>
          <w:u w:val="single" w:color="auto"/>
          <w:color w:val="0000FF"/>
        </w:rPr>
        <w:t>” means the Borrower’s facility consisting of approximately 225,000 square feet located on approximately 40 acres with an address of 2221 E. State Hwy 198, Osceola, Arkansas.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3" w:name="page54"/>
    <w:bookmarkEnd w:id="53"/>
    <w:p>
      <w:pPr>
        <w:jc w:val="both"/>
        <w:ind w:firstLine="648"/>
        <w:spacing w:after="0" w:line="267"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Outbound Investment Rules</w:t>
      </w:r>
      <w:r>
        <w:rPr>
          <w:rFonts w:ascii="Times New Roman" w:cs="Times New Roman" w:eastAsia="Times New Roman" w:hAnsi="Times New Roman"/>
          <w:sz w:val="18"/>
          <w:szCs w:val="18"/>
          <w:u w:val="single" w:color="auto"/>
          <w:color w:val="0000FF"/>
        </w:rPr>
        <w:t xml:space="preserve">” means the regulations administered and enforced, together with any related public guidance issued, by the United States Treasury Department under U.S. Executive Order 14105 of August 9, 2023, or any similar law or regulation, as of the Seventh Amendment Effective Date, as codified at 31 C.F.R. § 850.101 </w:t>
      </w:r>
      <w:r>
        <w:rPr>
          <w:rFonts w:ascii="Times New Roman" w:cs="Times New Roman" w:eastAsia="Times New Roman" w:hAnsi="Times New Roman"/>
          <w:sz w:val="18"/>
          <w:szCs w:val="18"/>
          <w:i w:val="1"/>
          <w:iCs w:val="1"/>
          <w:u w:val="single" w:color="auto"/>
          <w:color w:val="0000FF"/>
        </w:rPr>
        <w:t>et seq</w:t>
      </w:r>
      <w:r>
        <w:rPr>
          <w:rFonts w:ascii="Times New Roman" w:cs="Times New Roman" w:eastAsia="Times New Roman" w:hAnsi="Times New Roman"/>
          <w:sz w:val="18"/>
          <w:szCs w:val="18"/>
          <w:u w:val="single" w:color="auto"/>
          <w:color w:val="0000FF"/>
        </w:rPr>
        <w: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Outstanding Amount</w:t>
      </w:r>
      <w:r>
        <w:rPr>
          <w:rFonts w:ascii="Times New Roman" w:cs="Times New Roman" w:eastAsia="Times New Roman" w:hAnsi="Times New Roman"/>
          <w:sz w:val="18"/>
          <w:szCs w:val="18"/>
          <w:color w:val="auto"/>
        </w:rPr>
        <w:t>” means (a) with respect to Term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Loans and Swingline</w:t>
      </w:r>
      <w:r>
        <w:rPr>
          <w:rFonts w:ascii="Times New Roman" w:cs="Times New Roman" w:eastAsia="Times New Roman" w:hAnsi="Times New Roman"/>
          <w:sz w:val="18"/>
          <w:szCs w:val="18"/>
          <w:color w:val="auto"/>
        </w:rPr>
        <w:t xml:space="preserve"> Loans on any date, the aggregate outstanding principal amount thereof after giving effect to any Borrowings and prepayments or repayments of Term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color w:val="FF0000"/>
          <w:strike w:val="1"/>
        </w:rPr>
        <w:t>Loans and Swingline</w:t>
      </w:r>
      <w:r>
        <w:rPr>
          <w:rFonts w:ascii="Times New Roman" w:cs="Times New Roman" w:eastAsia="Times New Roman" w:hAnsi="Times New Roman"/>
          <w:sz w:val="18"/>
          <w:szCs w:val="18"/>
          <w:color w:val="auto"/>
        </w:rPr>
        <w:t xml:space="preserv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Patriot 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Perfection Certificate</w:t>
      </w:r>
      <w:r>
        <w:rPr>
          <w:rFonts w:ascii="Times New Roman" w:cs="Times New Roman" w:eastAsia="Times New Roman" w:hAnsi="Times New Roman"/>
          <w:sz w:val="18"/>
          <w:szCs w:val="18"/>
          <w:color w:val="auto"/>
        </w:rPr>
        <w:t xml:space="preserve">” means the Perfection Certificate delivered in accordance with </w:t>
      </w:r>
      <w:r>
        <w:rPr>
          <w:rFonts w:ascii="Times New Roman" w:cs="Times New Roman" w:eastAsia="Times New Roman" w:hAnsi="Times New Roman"/>
          <w:sz w:val="18"/>
          <w:szCs w:val="18"/>
          <w:u w:val="single" w:color="auto"/>
          <w:color w:val="auto"/>
        </w:rPr>
        <w:t>Section 4.01(e)(i)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Permit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Permitted Acquisition</w:t>
      </w:r>
      <w:r>
        <w:rPr>
          <w:rFonts w:ascii="Times New Roman" w:cs="Times New Roman" w:eastAsia="Times New Roman" w:hAnsi="Times New Roman"/>
          <w:sz w:val="18"/>
          <w:szCs w:val="18"/>
          <w:color w:val="auto"/>
        </w:rPr>
        <w:t xml:space="preserve">” means (i) the Enzon Merger and the transactions contemplated by the Enzon Merger Agreement, so long as (x) no Default shall then exist or would exist immediately after giving effect thereto, (y) the Enzon Merger has been consummated in accordance with the terms of the Enzon Merger Agreement, without giving effect to any modifications or amendments thereto or consents or waivers thereto that are material and adverse to the Lenders without the prior consent of the Administrative Agent (such consent not to be unreasonably withheld, delayed or conditioned), and (z) on or prior to the proposed date of the Enzon Merger, the Administrative Agent shall have received a certificate executed by a Responsible Officer of the Borrower certifying that the foregoing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(x) and (y) have been satisfied and (ii) an Acquisition by a Loan Party (the Person or division or line of business of the Person to be acquired in such Acquisition shall be referred to herein as the “</w:t>
      </w:r>
      <w:r>
        <w:rPr>
          <w:rFonts w:ascii="Times New Roman" w:cs="Times New Roman" w:eastAsia="Times New Roman" w:hAnsi="Times New Roman"/>
          <w:sz w:val="18"/>
          <w:szCs w:val="18"/>
          <w:i w:val="1"/>
          <w:iCs w:val="1"/>
          <w:u w:val="single" w:color="auto"/>
          <w:color w:val="auto"/>
        </w:rPr>
        <w:t>Target</w:t>
      </w:r>
      <w:r>
        <w:rPr>
          <w:rFonts w:ascii="Times New Roman" w:cs="Times New Roman" w:eastAsia="Times New Roman" w:hAnsi="Times New Roman"/>
          <w:sz w:val="18"/>
          <w:szCs w:val="18"/>
          <w:color w:val="auto"/>
        </w:rPr>
        <w:t>”), in each case that is a type of business (or assets used in a type of business) permitted to be engaged in by the Borrower and its Restricted Subsidiaries pursuant to the terms of this Agreement, in each case so long as:</w:t>
      </w:r>
    </w:p>
    <w:p>
      <w:pPr>
        <w:spacing w:after="0" w:line="19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(i) no Default shall then exist or would exist after giving effect thereto or (ii) in the case of a Limited Condition Acquisition (x) no Event of Default exists at the time of entry into the definitive agreement in respect of such Acquisition immediately after giving effect to such Acquisition and (y) no Specified Event of Default exists at the time of consummation of such Acquisition;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in the event such Acquisition is consummated by a merger, the Borrower or a Restricted Subsidiary is the surviving entity;</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4" w:name="page55"/>
    <w:bookmarkEnd w:id="54"/>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(c)            a description of the Acquisition shall have been delivered to the Administrative Agent prior to the consummation of the Acquisition (and the Administrative Agent shall deliver a copy to any Lender who requests a copy);</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the Borrower shall have delivered to the Administrative Agent copies of the most recent financial statements (audited, if then available) of the Target, together with any other information that Administrative Agent may reasonably request (and the Administrative Agent shall deliver a copy to any Lender who requests a copy);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such Acquisition shall be consummated in all material respects in accordance with Applicable Law;</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to the extent such Person </w:t>
      </w:r>
      <w:r>
        <w:rPr>
          <w:rFonts w:ascii="Times New Roman" w:cs="Times New Roman" w:eastAsia="Times New Roman" w:hAnsi="Times New Roman"/>
          <w:sz w:val="18"/>
          <w:szCs w:val="18"/>
          <w:u w:val="single" w:color="auto"/>
          <w:color w:val="0000FF"/>
        </w:rPr>
        <w:t>that is the Target</w:t>
      </w:r>
      <w:r>
        <w:rPr>
          <w:rFonts w:ascii="Times New Roman" w:cs="Times New Roman" w:eastAsia="Times New Roman" w:hAnsi="Times New Roman"/>
          <w:sz w:val="18"/>
          <w:szCs w:val="18"/>
          <w:color w:val="auto"/>
        </w:rPr>
        <w:t xml:space="preserve"> is required to become a Guarantor under the Loan Documents, such Person shall have executed a Joinder Agreement in accordance with the terms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to the extent required under the Loan Documents, the Administrative Agent, on behalf of the Secured Parties, shall have received (or shall receive in connection with the closing of such Acquisition) a first priority perfected security interest (subject to Permitted Liens) in all property(including Equity Interests but excluding any Excluded Property) acquired with respect to the Target in accordance with the terms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(g)            on or prior to the proposed date of such Acquisition, the Administrative Agent and the Lenders shall have received, a Permitted Acquisition Certificate, executed by a Responsible Officer of the Borrower certifying that such Permitted Acquisition complies with the requirements of this Agreement;</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(h)            the Borrower shall be in compliance on a Pro Forma Basis with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after giving effect to the consummation of the Acquisition (or, if applicable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on the LCA Test Date) and, for any such Acquisition for which the consideration to be paid is greater than $25,000,000, the Borrower shall have delivered to the Administrative Agent a Compliance Certificate demonstrating such compliance;</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aggregate amount of consideration for any Acquisitions (without duplication)(A) in assets that are not (and do not become at the time of such acquisition) directly owned by a Loan Party, or (B) in Equity Interests of Persons that do not become Guarantors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shall not exceed $25,000,000 </w:t>
      </w:r>
      <w:r>
        <w:rPr>
          <w:rFonts w:ascii="Times New Roman" w:cs="Times New Roman" w:eastAsia="Times New Roman" w:hAnsi="Times New Roman"/>
          <w:sz w:val="18"/>
          <w:szCs w:val="18"/>
          <w:u w:val="single" w:color="auto"/>
          <w:color w:val="0000FF"/>
        </w:rPr>
        <w:t>in the aggregate</w:t>
      </w:r>
      <w:r>
        <w:rPr>
          <w:rFonts w:ascii="Times New Roman" w:cs="Times New Roman" w:eastAsia="Times New Roman" w:hAnsi="Times New Roman"/>
          <w:sz w:val="18"/>
          <w:szCs w:val="18"/>
          <w:color w:val="auto"/>
        </w:rPr>
        <w:t xml:space="preserve"> during the term of this Agreement; and</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(j)            Liquidity shall be greater than $10,000,000 on a Pro Forma Basis after giving effect to the consummation of such Acquisition (or, if applicable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on the LCA Test Date).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Permitted Acquisition Certificate</w:t>
      </w:r>
      <w:r>
        <w:rPr>
          <w:rFonts w:ascii="Times New Roman" w:cs="Times New Roman" w:eastAsia="Times New Roman" w:hAnsi="Times New Roman"/>
          <w:sz w:val="18"/>
          <w:szCs w:val="18"/>
          <w:color w:val="auto"/>
        </w:rPr>
        <w:t xml:space="preserve">” means a certificate substantially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or any other form approved by the Administrative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Permitted Business</w:t>
      </w:r>
      <w:r>
        <w:rPr>
          <w:rFonts w:ascii="Times New Roman" w:cs="Times New Roman" w:eastAsia="Times New Roman" w:hAnsi="Times New Roman"/>
          <w:sz w:val="18"/>
          <w:szCs w:val="18"/>
          <w:color w:val="auto"/>
        </w:rPr>
        <w:t>” shall mean the business currently conducted by the Borrower and its Restricted Subsidiaries, businesses substantially similar to the business currently conducted by the</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Borrower and its Restricted Subsidiaries, or any business or activity that is related, ancillary or complementary thereto or an extension, development or expansion thereof.</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Permitted Holders</w:t>
      </w:r>
      <w:r>
        <w:rPr>
          <w:rFonts w:ascii="Times New Roman" w:cs="Times New Roman" w:eastAsia="Times New Roman" w:hAnsi="Times New Roman"/>
          <w:sz w:val="18"/>
          <w:szCs w:val="18"/>
          <w:color w:val="auto"/>
        </w:rPr>
        <w:t>” means the Icahn Group and any group (within the meaning of Section 13(d)(3) or Section 14(d)(2) of the Exchange Act or any successor provision) of which any of the foregoing are members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Permitted Liens</w:t>
      </w:r>
      <w:r>
        <w:rPr>
          <w:rFonts w:ascii="Times New Roman" w:cs="Times New Roman" w:eastAsia="Times New Roman" w:hAnsi="Times New Roman"/>
          <w:sz w:val="18"/>
          <w:szCs w:val="18"/>
          <w:color w:val="auto"/>
        </w:rPr>
        <w:t xml:space="preserve">” means the Liens permitted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Permitted Tax Distributions</w:t>
      </w:r>
      <w:r>
        <w:rPr>
          <w:rFonts w:ascii="Times New Roman" w:cs="Times New Roman" w:eastAsia="Times New Roman" w:hAnsi="Times New Roman"/>
          <w:sz w:val="18"/>
          <w:szCs w:val="18"/>
          <w:color w:val="auto"/>
        </w:rPr>
        <w:t xml:space="preserve">” mean any dividend, payment or distribution to the Borrower, any Subsidiary or the parent of a consolidated, combined or unitary group of which the Borrower is a member for income tax purposes to pay Taxes due and payable solely in respect of income of the Borrower or any Subsidiary;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for each taxable period, the amount of such payments made by the Borrower and its Subsidiaries to a parent of a group of which the Borrower is a member in respect of such taxable period in the aggregate shall not exceed the amount that the Borrower and its Subsidiaries that are members of such group would have been required to pay as a stand-alone consolidated, combined or similar income tax group;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the Permitted Tax Distributions hereunder with respect to any Taxes that are attributable to the activities or income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Subsidiary for any taxable period shall be limited to the amount actually paid with respect to such period by such Unrestricted Subsidiary to the Borrower or its Restricted Subsidiaries for the purposes of paying such Consolidated, combined or similar income Taxes.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Permitted Transfers</w:t>
      </w:r>
      <w:r>
        <w:rPr>
          <w:rFonts w:ascii="Times New Roman" w:cs="Times New Roman" w:eastAsia="Times New Roman" w:hAnsi="Times New Roman"/>
          <w:sz w:val="18"/>
          <w:szCs w:val="18"/>
          <w:color w:val="auto"/>
        </w:rPr>
        <w:t xml:space="preserve">” means (a) Dispositions of inventory in the ordinary course of business; (b) Dispositions of property to the Borrower or any Subsidiary;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if the transferor of such property is a Loan Party then the transferee thereof must be a Loan Party; (c) Dispositions of accounts receivable in connection with the collection or compromise thereof; (d) licenses, sublicenses, leases or subleases granted to others not interfering in any material respect with the business of the Borrower and its Subsidiaries; (e) the sale or disposition of Cash Equivalents for fair market value; (f) the sale or other disposition of surplus, damaged, obsolete, scrap, idle or worn-out assets in the ordinary course of business; (g) the sale, transfer, conveyance, assignment, lease or other disposition of furniture, fixtures and equipment in the ordinary course of business;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(h) any sale, transfer, conveyance, assignment, lease or other disposition or series of related sales, transfers, conveyances, assignments, leases or other related dispositions that have a purchase price not in excess of $1,000,000</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 (i) the Dispositions of (x) the equipment, real property and improvements of the Osceola Facility and (y)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real property and improvements of the Chicago Facility; and (j) the sale or purported sale of accounts receivable and related assets pursuant to any supply chain financing arrangements permitted by Section 7.01(m).</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Permitted Unsecured Debt</w:t>
      </w:r>
      <w:r>
        <w:rPr>
          <w:rFonts w:ascii="Times New Roman" w:cs="Times New Roman" w:eastAsia="Times New Roman" w:hAnsi="Times New Roman"/>
          <w:sz w:val="18"/>
          <w:szCs w:val="18"/>
          <w:color w:val="auto"/>
        </w:rPr>
        <w:t>” shall mean (a) unsecured subordinated Indebtedness issued or incurred by the Borrower, any Guarantor or any Foreign Subsidiary, and (b) unsecured senior Indebtedness issued by the Borrower, any Guarantor or any Foreign Subsidiary, in each case (other than with respect to any such Indebtedness of Foreign Subsidiaries), (i) the terms of which (A) do not provide for any amortization, scheduled repayment, mandatory redemption</w:t>
      </w:r>
      <w:r>
        <w:rPr>
          <w:rFonts w:ascii="Times New Roman" w:cs="Times New Roman" w:eastAsia="Times New Roman" w:hAnsi="Times New Roman"/>
          <w:sz w:val="18"/>
          <w:szCs w:val="18"/>
          <w:u w:val="single" w:color="auto"/>
          <w:color w:val="0000FF"/>
        </w:rPr>
        <w:t>, mandatory cash-pay interest</w:t>
      </w:r>
      <w:r>
        <w:rPr>
          <w:rFonts w:ascii="Times New Roman" w:cs="Times New Roman" w:eastAsia="Times New Roman" w:hAnsi="Times New Roman"/>
          <w:sz w:val="18"/>
          <w:szCs w:val="18"/>
          <w:color w:val="auto"/>
        </w:rPr>
        <w:t xml:space="preserve"> or sinking fund obligation prior to the date that is twelve (12) months after the </w:t>
      </w:r>
      <w:r>
        <w:rPr>
          <w:rFonts w:ascii="Times New Roman" w:cs="Times New Roman" w:eastAsia="Times New Roman" w:hAnsi="Times New Roman"/>
          <w:sz w:val="18"/>
          <w:szCs w:val="18"/>
          <w:color w:val="FF0000"/>
          <w:strike w:val="1"/>
        </w:rPr>
        <w:t>Latest</w:t>
      </w:r>
      <w:r>
        <w:rPr>
          <w:rFonts w:ascii="Times New Roman" w:cs="Times New Roman" w:eastAsia="Times New Roman" w:hAnsi="Times New Roman"/>
          <w:sz w:val="18"/>
          <w:szCs w:val="18"/>
          <w:color w:val="auto"/>
        </w:rPr>
        <w:t xml:space="preserve"> Maturity Date, other than customary offers to repurchase upon a change of control, asset sale or event of loss and customary acceleration rights after an event of default, (B) provide for covenants and events of default customary for Indebtedness of a similar nature as such Permitted Unsecured Debt but in any event the terms and conditions thereof, excluding pricing, fees, rate floors and premiums are, taken as a whole, no more restrictive in any material respect than the terms set forth in this Agreement and (C) in the case of subordinated Indebtedness, provide for subordination of payments in respect of such Indebtedness to the Obligations and guarantees thereof under the Loan Documents customary for subordinated high yield securities or on terms reasonably acceptable to the Administrative Agent, and (ii) in respect of which no Subsidiary of the Borrower that is not an obligor or guarantor under the Loan Documents is an obligor or guarantor (other than Foreign Subsidiaries);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immediately prior to and after giving effect to any incurrence of Permitted Unsecured Debt and the application of proceeds therefrom, no Default shall have occurred and be continuing or would result therefrom. Notwithstanding the foregoing, Disqualified Preferred Stock shall not constitute Permitted Unsecured Debt.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6" w:name="page57"/>
    <w:bookmarkEnd w:id="56"/>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maintained, sponsored or contributed to by Borrower or any ERISA Affiliate or in respect of which Borrower or any ERISA Affiliate has or could have any liability.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Plan of Reorganization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6.04(l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Pledged Equity</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Pro Forma Basis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auto"/>
        </w:rPr>
        <w:t>Pro Forma Effect</w:t>
      </w:r>
      <w:r>
        <w:rPr>
          <w:rFonts w:ascii="Times New Roman" w:cs="Times New Roman" w:eastAsia="Times New Roman" w:hAnsi="Times New Roman"/>
          <w:sz w:val="18"/>
          <w:szCs w:val="18"/>
          <w:color w:val="auto"/>
        </w:rPr>
        <w:t xml:space="preserve">” means, for purposes of calculating compliance with any test or covenant under this Agreement, including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with respect to any relevant transaction or series of related transactions, immediately after giving effect to such transaction or series of related transactions on a pro forma basis as if occurring during the relevant period or thereafter and on or prior to the date of determination with such transaction(s), and all other subject applicable transactions (including debt incurrences and repayments, Acquisitions, Dispositions of all or substantially all of the assets or stock of a Restricted Subsidiary (or any line of business or division of the Borrower or any Restricted Subsidiary) and the designation of a Restricted Subsidiary as an Unrestricted Subsidiary or an Unrestricted Subsidiary as a Restricted Subsidiary) occurring during the relevant period or thereafter and on or prior to the date of determination shall be deemed to have occurred as of the first day of the applicable period of measurement in such test or covenant, and with supporting detail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by the Borrower to the Administrative Agent as to any pro forma adjustments;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the foregoing pro forma adjustments may only be applied to the calculation of Consolidated EBITDA (x) to the extent such adjustments are consistent with the definition of Consolidated EBITDA and such supporting detail demonstrates such pro forma adjustments are factually supportable and expected to have a continuing impact, in each case determined on a basis consistent with Article 11 of Regulation S-X of the Securities Act of 1933, as interpreted by the Securities and Exchange Commission, or (y) with respect to any additional pro forma expense and cost reductions or synergies, to the extent set forth in a certificate of a Responsible Officer itemizing any such additional pro forma expense and cost reductions or synergies, net of the benefit received, calculated in good faith, each of which such items must have been realized or be reasonably anticipated to be realizable within 12 months of the initial closing of such transaction or series of transactions; </w:t>
      </w:r>
      <w:r>
        <w:rPr>
          <w:rFonts w:ascii="Times New Roman" w:cs="Times New Roman" w:eastAsia="Times New Roman" w:hAnsi="Times New Roman"/>
          <w:sz w:val="18"/>
          <w:szCs w:val="18"/>
          <w:i w:val="1"/>
          <w:iCs w:val="1"/>
          <w:u w:val="single" w:color="auto"/>
          <w:color w:val="auto"/>
        </w:rPr>
        <w:t>provided further</w:t>
      </w:r>
      <w:r>
        <w:rPr>
          <w:rFonts w:ascii="Times New Roman" w:cs="Times New Roman" w:eastAsia="Times New Roman" w:hAnsi="Times New Roman"/>
          <w:sz w:val="18"/>
          <w:szCs w:val="18"/>
          <w:color w:val="auto"/>
        </w:rPr>
        <w:t>, that any increase in Consolidated EBITDA as a result of such pro forma expense and cost reductions or synergies shall not exceed</w:t>
      </w:r>
      <w:r>
        <w:rPr>
          <w:rFonts w:ascii="Times New Roman" w:cs="Times New Roman" w:eastAsia="Times New Roman" w:hAnsi="Times New Roman"/>
          <w:sz w:val="18"/>
          <w:szCs w:val="18"/>
          <w:color w:val="FF0000"/>
          <w:strike w:val="1"/>
        </w:rPr>
        <w:t>, together with all amounts added back to Consolidated EBITDA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such test period under clause (vii) of the definition of Consolidated EBITDA,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20% of Consolidated EBITDA for such period (giving pro forma effect to 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such relevant transactions occurring during such period). Notwithstanding the foregoing, when calculating Consolidated EBITDA for purposes of </w:t>
      </w:r>
      <w:r>
        <w:rPr>
          <w:rFonts w:ascii="Times New Roman" w:cs="Times New Roman" w:eastAsia="Times New Roman" w:hAnsi="Times New Roman"/>
          <w:sz w:val="18"/>
          <w:szCs w:val="18"/>
          <w:color w:val="FF0000"/>
          <w:strike w:val="1"/>
        </w:rPr>
        <w:t>(i)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definition of “Applicable Rate,” and (ii)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determining actual compliance (and not pro forma compliance or compliance on a Pro Forma Basis) with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financial covenants set forth in </w:t>
      </w:r>
      <w:r>
        <w:rPr>
          <w:rFonts w:ascii="Times New Roman" w:cs="Times New Roman" w:eastAsia="Times New Roman" w:hAnsi="Times New Roman"/>
          <w:sz w:val="18"/>
          <w:szCs w:val="18"/>
          <w:u w:val="single" w:color="auto"/>
          <w:color w:val="000000"/>
        </w:rPr>
        <w:t>Section 7.11</w:t>
      </w:r>
      <w:r>
        <w:rPr>
          <w:rFonts w:ascii="Times New Roman" w:cs="Times New Roman" w:eastAsia="Times New Roman" w:hAnsi="Times New Roman"/>
          <w:sz w:val="18"/>
          <w:szCs w:val="18"/>
          <w:color w:val="000000"/>
        </w:rPr>
        <w:t>, any events described in this definition of “Pro Forma Basis” that occurred subsequent to the end of the applicable Measurement Period shall not be given pro forma effect.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6.04(l)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QFC Credit Support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Qualified ECP Guarantor</w:t>
      </w:r>
      <w:r>
        <w:rPr>
          <w:rFonts w:ascii="Times New Roman" w:cs="Times New Roman" w:eastAsia="Times New Roman" w:hAnsi="Times New Roman"/>
          <w:sz w:val="18"/>
          <w:szCs w:val="18"/>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Qualified Equity Interests</w:t>
      </w:r>
      <w:r>
        <w:rPr>
          <w:rFonts w:ascii="Times New Roman" w:cs="Times New Roman" w:eastAsia="Times New Roman" w:hAnsi="Times New Roman"/>
          <w:sz w:val="18"/>
          <w:szCs w:val="18"/>
          <w:color w:val="auto"/>
        </w:rPr>
        <w:t>” of any person shall mean any Equity Interests of such person that are not Disqualified Preferred Stock.</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Qualifying Control Agreement</w:t>
      </w:r>
      <w:r>
        <w:rPr>
          <w:rFonts w:ascii="Times New Roman" w:cs="Times New Roman" w:eastAsia="Times New Roman" w:hAnsi="Times New Roman"/>
          <w:sz w:val="18"/>
          <w:szCs w:val="18"/>
          <w:color w:val="auto"/>
        </w:rPr>
        <w:t>” means an agreement, among a Loan Party, a depository institution or securities intermediary and the Administrative Agent, which agreement is in form and substance reasonably acceptable to the Administrative Agent and which provides the Administrative Agent with “control” (as such term is used in Article 9 of the UCC) over the deposit account(s) or securities account(s) described therein.</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Recipient</w:t>
      </w:r>
      <w:r>
        <w:rPr>
          <w:rFonts w:ascii="Times New Roman" w:cs="Times New Roman" w:eastAsia="Times New Roman" w:hAnsi="Times New Roman"/>
          <w:sz w:val="18"/>
          <w:szCs w:val="18"/>
          <w:color w:val="auto"/>
        </w:rPr>
        <w:t>” means the Administrative Agent, any Lender, the L/C Issuer or any other recipient of any payment to be made by or on account of any obligation of any Loan Party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Regulation U</w:t>
      </w:r>
      <w:r>
        <w:rPr>
          <w:rFonts w:ascii="Times New Roman" w:cs="Times New Roman" w:eastAsia="Times New Roman" w:hAnsi="Times New Roman"/>
          <w:sz w:val="18"/>
          <w:szCs w:val="18"/>
          <w:color w:val="auto"/>
        </w:rPr>
        <w:t>” means Regulation U of the FRB, as in effect from time to time and all official rulings and interpretations thereunder or thereof.</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or within or upon any building, structure, facility or fixture.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Removal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Term Loans or Revolving Loans, a Loan Notice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(b) with respect to an L/C Credit Extension, a Letter of Credit Application</w:t>
      </w:r>
      <w:r>
        <w:rPr>
          <w:rFonts w:ascii="Times New Roman" w:cs="Times New Roman" w:eastAsia="Times New Roman" w:hAnsi="Times New Roman"/>
          <w:sz w:val="18"/>
          <w:szCs w:val="18"/>
          <w:color w:val="FF0000"/>
          <w:strike w:val="1"/>
        </w:rPr>
        <w:t>, and (c) with respect to a Swingline Loan, a Swingline Loan Notice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Required Class Lenders</w:t>
      </w:r>
      <w:r>
        <w:rPr>
          <w:rFonts w:ascii="Times New Roman" w:cs="Times New Roman" w:eastAsia="Times New Roman" w:hAnsi="Times New Roman"/>
          <w:sz w:val="18"/>
          <w:szCs w:val="18"/>
          <w:color w:val="auto"/>
        </w:rPr>
        <w:t>” means, at any time with respect to any Class of Loans or Commitments, Lenders having Total Credit Exposures with respect to such Class representing more than 50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Total Credit Exposures of all Lenders of such Class. The Total Credit Exposure of any Defaulting Lender with respect to such Class shall be disregarded in determining Required Class Lenders at any time.</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8" w:name="page59"/>
    <w:bookmarkEnd w:id="5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Required Lenders</w:t>
      </w:r>
      <w:r>
        <w:rPr>
          <w:rFonts w:ascii="Times New Roman" w:cs="Times New Roman" w:eastAsia="Times New Roman" w:hAnsi="Times New Roman"/>
          <w:sz w:val="18"/>
          <w:szCs w:val="18"/>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the amount of any participation in any </w:t>
      </w:r>
      <w:r>
        <w:rPr>
          <w:rFonts w:ascii="Times New Roman" w:cs="Times New Roman" w:eastAsia="Times New Roman" w:hAnsi="Times New Roman"/>
          <w:sz w:val="18"/>
          <w:szCs w:val="18"/>
          <w:color w:val="FF0000"/>
          <w:strike w:val="1"/>
        </w:rPr>
        <w:t>Swingline Loan and</w:t>
      </w:r>
      <w:r>
        <w:rPr>
          <w:rFonts w:ascii="Times New Roman" w:cs="Times New Roman" w:eastAsia="Times New Roman" w:hAnsi="Times New Roman"/>
          <w:sz w:val="18"/>
          <w:szCs w:val="18"/>
          <w:color w:val="auto"/>
        </w:rPr>
        <w:t xml:space="preserve"> Unreimbursed Amounts that such Defaulting Lender has failed to fund that have not been reallocated to and funded by another Lender shall be deemed to be held by the Lender that is </w:t>
      </w:r>
      <w:r>
        <w:rPr>
          <w:rFonts w:ascii="Times New Roman" w:cs="Times New Roman" w:eastAsia="Times New Roman" w:hAnsi="Times New Roman"/>
          <w:sz w:val="18"/>
          <w:szCs w:val="18"/>
          <w:color w:val="FF0000"/>
          <w:strike w:val="1"/>
        </w:rPr>
        <w:t>the Swingline Lender or</w:t>
      </w:r>
      <w:r>
        <w:rPr>
          <w:rFonts w:ascii="Times New Roman" w:cs="Times New Roman" w:eastAsia="Times New Roman" w:hAnsi="Times New Roman"/>
          <w:sz w:val="18"/>
          <w:szCs w:val="18"/>
          <w:color w:val="auto"/>
        </w:rPr>
        <w:t xml:space="preserve"> the L/C Issuer, as the case may be, in making such determination; </w:t>
      </w:r>
      <w:r>
        <w:rPr>
          <w:rFonts w:ascii="Times New Roman" w:cs="Times New Roman" w:eastAsia="Times New Roman" w:hAnsi="Times New Roman"/>
          <w:sz w:val="18"/>
          <w:szCs w:val="18"/>
          <w:i w:val="1"/>
          <w:iCs w:val="1"/>
          <w:u w:val="single" w:color="auto"/>
          <w:color w:val="auto"/>
        </w:rPr>
        <w:t>provided further</w:t>
      </w:r>
      <w:r>
        <w:rPr>
          <w:rFonts w:ascii="Times New Roman" w:cs="Times New Roman" w:eastAsia="Times New Roman" w:hAnsi="Times New Roman"/>
          <w:sz w:val="18"/>
          <w:szCs w:val="18"/>
          <w:color w:val="auto"/>
        </w:rPr>
        <w:t xml:space="preserve"> that, notwithstanding the foregoing, in each case, if there are at any time two (2) or more Lenders, at least two</w:t>
      </w:r>
    </w:p>
    <w:p>
      <w:pPr>
        <w:spacing w:after="0" w:line="1" w:lineRule="exact"/>
        <w:rPr>
          <w:sz w:val="20"/>
          <w:szCs w:val="20"/>
          <w:color w:val="auto"/>
        </w:rPr>
      </w:pPr>
    </w:p>
    <w:p>
      <w:pPr>
        <w:ind w:firstLine="8"/>
        <w:spacing w:after="0" w:line="260" w:lineRule="auto"/>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shall be required to constitute “Required Lenders” (Lenders that are Affiliates of one another being considered as one Lender for purposes of this proviso).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Rescindable Amount</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2.12(b)(ii)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Resignation 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Responsible Officer</w:t>
      </w:r>
      <w:r>
        <w:rPr>
          <w:rFonts w:ascii="Times New Roman" w:cs="Times New Roman" w:eastAsia="Times New Roman" w:hAnsi="Times New Roman"/>
          <w:sz w:val="18"/>
          <w:szCs w:val="18"/>
          <w:color w:val="auto"/>
        </w:rPr>
        <w:t xml:space="preserve">” means the chief executive officer, president, chief operating officer, chief administrative officer, executive vice president, chief financial officer, treasurer, assistant treasurer or controller of a Loan Party, solely for purposes of the delivery of incumbency certificates pursuant to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the secretary or any assistant secretary of a Loan Party and, solely for purposes of notices given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any other officer or employee or equivalent representative of the applicable Loan Party so designated by any of the foregoing officers, directors or managers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reasonably satisfactory to the Administrative Agent.</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Restricted Payment</w:t>
      </w:r>
      <w:r>
        <w:rPr>
          <w:rFonts w:ascii="Times New Roman" w:cs="Times New Roman" w:eastAsia="Times New Roman" w:hAnsi="Times New Roman"/>
          <w:sz w:val="18"/>
          <w:szCs w:val="18"/>
          <w:color w:val="auto"/>
        </w:rPr>
        <w:t>” means (a) any dividend or other distribution (including without limitation Permitted Tax Distributions), on account of any shares (or equivalent) of any class of Equity Interests of the Borrower or any of its Subsidiaries, now or hereafter outstanding, (b) any redemption, retirement, sinking fund or similar payment, purchase or other acquisition for value, direct or indirect, of any shares (or equivalent) of any class of Equity Interests of the Borrower or any of its Subsidiaries, now or hereafter outstanding, and (c) any payment made to retire, or to obtain the surrender of, any outstanding warrants, options or other rights to acquire shares of any class of Equity Interests of any Loan Party or any of its Subsidiaries, now or hereafter outstanding.</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Restricted Subsidiaries</w:t>
      </w:r>
      <w:r>
        <w:rPr>
          <w:rFonts w:ascii="Times New Roman" w:cs="Times New Roman" w:eastAsia="Times New Roman" w:hAnsi="Times New Roman"/>
          <w:sz w:val="18"/>
          <w:szCs w:val="18"/>
          <w:color w:val="auto"/>
        </w:rPr>
        <w:t>” means (i) each Subsidiary of the Borrower that is not an Unrestricted Subsidiary on the Closing Date, and (ii) any other Subsidiary acquired or formed by the Borrower or any of its Restricted Subsidiaries, directly or indirectly, that is not an Unrestricted Subsidiary.</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9" w:name="page60"/>
    <w:bookmarkEnd w:id="59"/>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Revolving Borrowing</w:t>
      </w:r>
      <w:r>
        <w:rPr>
          <w:rFonts w:ascii="Times New Roman" w:cs="Times New Roman" w:eastAsia="Times New Roman" w:hAnsi="Times New Roman"/>
          <w:sz w:val="18"/>
          <w:szCs w:val="18"/>
          <w:color w:val="auto"/>
        </w:rPr>
        <w:t xml:space="preserve">” means a borrowing consisting of simultaneous Revolving Loans of the same Type and, in the case of Term SOFR Loans, having the same Interest Period made by each of the Revolving Lenders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Revolving Commitment</w:t>
      </w:r>
      <w:r>
        <w:rPr>
          <w:rFonts w:ascii="Times New Roman" w:cs="Times New Roman" w:eastAsia="Times New Roman" w:hAnsi="Times New Roman"/>
          <w:sz w:val="18"/>
          <w:szCs w:val="18"/>
          <w:color w:val="auto"/>
        </w:rPr>
        <w:t xml:space="preserve">” means, as to each Revolving Lender, its obligation to (a) make Revolving Loans to the Borrower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(b) purchase participations in L/C Obligations</w:t>
      </w:r>
      <w:r>
        <w:rPr>
          <w:rFonts w:ascii="Times New Roman" w:cs="Times New Roman" w:eastAsia="Times New Roman" w:hAnsi="Times New Roman"/>
          <w:sz w:val="18"/>
          <w:szCs w:val="18"/>
          <w:color w:val="FF0000"/>
          <w:strike w:val="1"/>
        </w:rPr>
        <w:t>, and (c) purchase participations in Swingline Loans</w:t>
      </w:r>
      <w:r>
        <w:rPr>
          <w:rFonts w:ascii="Times New Roman" w:cs="Times New Roman" w:eastAsia="Times New Roman" w:hAnsi="Times New Roman"/>
          <w:sz w:val="18"/>
          <w:szCs w:val="18"/>
          <w:color w:val="auto"/>
        </w:rPr>
        <w:t xml:space="preserve">,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under the caption “Revolving Commitment” or opposite such caption in the Assignment and Assumption pursuant to which such Lender becomes a party hereto, as applicable, as such amount may be adjusted from time to time in accordance with this Agreement. The Revolving Commitment of all of the Revolving Lenders on the Second Amendment Effective Date shall be $37,000,000.</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Revolving Exposure</w:t>
      </w:r>
      <w:r>
        <w:rPr>
          <w:rFonts w:ascii="Times New Roman" w:cs="Times New Roman" w:eastAsia="Times New Roman" w:hAnsi="Times New Roman"/>
          <w:sz w:val="18"/>
          <w:szCs w:val="18"/>
          <w:color w:val="auto"/>
        </w:rPr>
        <w:t xml:space="preserve">” means, as to any Lender at any time, the aggregate principal amount at such time of its outstanding Revolving Loans and such Lender’s participation in L/C Obligations </w:t>
      </w:r>
      <w:r>
        <w:rPr>
          <w:rFonts w:ascii="Times New Roman" w:cs="Times New Roman" w:eastAsia="Times New Roman" w:hAnsi="Times New Roman"/>
          <w:sz w:val="18"/>
          <w:szCs w:val="18"/>
          <w:color w:val="FF0000"/>
          <w:strike w:val="1"/>
        </w:rPr>
        <w:t>and Swingline Loans</w:t>
      </w:r>
      <w:r>
        <w:rPr>
          <w:rFonts w:ascii="Times New Roman" w:cs="Times New Roman" w:eastAsia="Times New Roman" w:hAnsi="Times New Roman"/>
          <w:sz w:val="18"/>
          <w:szCs w:val="18"/>
          <w:color w:val="auto"/>
        </w:rPr>
        <w:t xml:space="preserve"> at such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Revolving Facility</w:t>
      </w:r>
      <w:r>
        <w:rPr>
          <w:rFonts w:ascii="Times New Roman" w:cs="Times New Roman" w:eastAsia="Times New Roman" w:hAnsi="Times New Roman"/>
          <w:sz w:val="18"/>
          <w:szCs w:val="18"/>
          <w:color w:val="auto"/>
        </w:rPr>
        <w:t>” means, at any time, the aggregate amount of the Revolving Lenders’ Revolving Commitments at such time.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Revolving Lender</w:t>
      </w:r>
      <w:r>
        <w:rPr>
          <w:rFonts w:ascii="Times New Roman" w:cs="Times New Roman" w:eastAsia="Times New Roman" w:hAnsi="Times New Roman"/>
          <w:sz w:val="18"/>
          <w:szCs w:val="18"/>
          <w:color w:val="auto"/>
        </w:rPr>
        <w:t xml:space="preserve">” means, at any time, (a) so long as any Revolving Commitment is in effect, any Lender that has a Revolving Commitment at such time or (b) if the Revolving Commitments have terminated or expired, any Lender that has a Revolving Loan or a participation in L/C Obligations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Swingline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at such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Revolving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Revolving Note</w:t>
      </w:r>
      <w:r>
        <w:rPr>
          <w:rFonts w:ascii="Times New Roman" w:cs="Times New Roman" w:eastAsia="Times New Roman" w:hAnsi="Times New Roman"/>
          <w:sz w:val="18"/>
          <w:szCs w:val="18"/>
          <w:color w:val="auto"/>
        </w:rPr>
        <w:t xml:space="preserve">” means a promissory note made by the Borrower in favor of a Revolving Lender evidencing Revolving Loans </w:t>
      </w:r>
      <w:r>
        <w:rPr>
          <w:rFonts w:ascii="Times New Roman" w:cs="Times New Roman" w:eastAsia="Times New Roman" w:hAnsi="Times New Roman"/>
          <w:sz w:val="18"/>
          <w:szCs w:val="18"/>
          <w:color w:val="FF0000"/>
          <w:strike w:val="1"/>
        </w:rPr>
        <w:t>or Swingline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Loans, as the case may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made by such Revolving Lender, substantially in the form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Exhibit G</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Sale and Leaseback Transaction</w:t>
      </w:r>
      <w:r>
        <w:rPr>
          <w:rFonts w:ascii="Times New Roman" w:cs="Times New Roman" w:eastAsia="Times New Roman" w:hAnsi="Times New Roman"/>
          <w:sz w:val="18"/>
          <w:szCs w:val="18"/>
          <w:color w:val="auto"/>
        </w:rPr>
        <w:t>” means, with respect to any Loan Party or any Restricted Subsidiary, any arrangement, directly or indirectly, with any Person whereby such Loan Party or such Restricted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Sanction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any sanction administered or enforced by the United States Government (including, without limitation, OFAC), the United Nations Security Council, the European Union, His Majesty’s Treasury (“</w:t>
      </w:r>
      <w:r>
        <w:rPr>
          <w:rFonts w:ascii="Times New Roman" w:cs="Times New Roman" w:eastAsia="Times New Roman" w:hAnsi="Times New Roman"/>
          <w:sz w:val="18"/>
          <w:szCs w:val="18"/>
          <w:i w:val="1"/>
          <w:iCs w:val="1"/>
          <w:u w:val="single" w:color="auto"/>
          <w:color w:val="auto"/>
        </w:rPr>
        <w:t>HMT</w:t>
      </w:r>
      <w:r>
        <w:rPr>
          <w:rFonts w:ascii="Times New Roman" w:cs="Times New Roman" w:eastAsia="Times New Roman" w:hAnsi="Times New Roman"/>
          <w:sz w:val="18"/>
          <w:szCs w:val="18"/>
          <w:color w:val="auto"/>
        </w:rPr>
        <w:t>”) or other relevant sanctions authority.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Second Amendment</w:t>
      </w:r>
      <w:r>
        <w:rPr>
          <w:rFonts w:ascii="Times New Roman" w:cs="Times New Roman" w:eastAsia="Times New Roman" w:hAnsi="Times New Roman"/>
          <w:sz w:val="18"/>
          <w:szCs w:val="18"/>
          <w:color w:val="auto"/>
        </w:rPr>
        <w:t>” means that certain Second Amendment to Credit Agreement dated as of the Second Amendment Effective Date, by and among the Borrower, the Guarantors, the Lenders and the Administrative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Second Amendment Effective Date</w:t>
      </w:r>
      <w:r>
        <w:rPr>
          <w:rFonts w:ascii="Times New Roman" w:cs="Times New Roman" w:eastAsia="Times New Roman" w:hAnsi="Times New Roman"/>
          <w:sz w:val="18"/>
          <w:szCs w:val="18"/>
          <w:color w:val="auto"/>
        </w:rPr>
        <w:t>” means August 10, 2022.</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0" w:name="page61"/>
    <w:bookmarkEnd w:id="60"/>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Secured Cash Management Agreement</w:t>
      </w:r>
      <w:r>
        <w:rPr>
          <w:rFonts w:ascii="Times New Roman" w:cs="Times New Roman" w:eastAsia="Times New Roman" w:hAnsi="Times New Roman"/>
          <w:sz w:val="18"/>
          <w:szCs w:val="18"/>
          <w:color w:val="auto"/>
        </w:rPr>
        <w:t>” means any Cash Management Agreement between any Loan Party and any of its Restricted Subsidiaries and any Cash Management Bank.</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Secured Hedge Agreement</w:t>
      </w:r>
      <w:r>
        <w:rPr>
          <w:rFonts w:ascii="Times New Roman" w:cs="Times New Roman" w:eastAsia="Times New Roman" w:hAnsi="Times New Roman"/>
          <w:sz w:val="18"/>
          <w:szCs w:val="18"/>
          <w:color w:val="auto"/>
        </w:rPr>
        <w:t xml:space="preserve">” means any interest rate, currency, foreign exchange, or commodity Swap Contract required by or not prohibited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between any Loan Party and any of its Restricted Subsidiaries and any Hedge Bank.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Secured Obligations</w:t>
      </w:r>
      <w:r>
        <w:rPr>
          <w:rFonts w:ascii="Times New Roman" w:cs="Times New Roman" w:eastAsia="Times New Roman" w:hAnsi="Times New Roman"/>
          <w:sz w:val="18"/>
          <w:szCs w:val="18"/>
          <w:color w:val="auto"/>
        </w:rPr>
        <w:t>” means all Obligations, all Foreign Subsidiary Secured Obligations and all Additional Secured Obligations.</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Secured Parties</w:t>
      </w:r>
      <w:r>
        <w:rPr>
          <w:rFonts w:ascii="Times New Roman" w:cs="Times New Roman" w:eastAsia="Times New Roman" w:hAnsi="Times New Roman"/>
          <w:sz w:val="18"/>
          <w:szCs w:val="18"/>
          <w:color w:val="auto"/>
        </w:rPr>
        <w:t>” means, collectively, the Administrative Agent, the Lenders, the L/C Issuer, the Hedge Banks, the Cash Management Banks, Foreign Obligation Providers and the Indemnitees.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Secured Party Designation Notice</w:t>
      </w:r>
      <w:r>
        <w:rPr>
          <w:rFonts w:ascii="Times New Roman" w:cs="Times New Roman" w:eastAsia="Times New Roman" w:hAnsi="Times New Roman"/>
          <w:sz w:val="18"/>
          <w:szCs w:val="18"/>
          <w:color w:val="auto"/>
        </w:rPr>
        <w:t xml:space="preserve">” means a notice from any Lender or an Affiliate of a Lender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Securities Act</w:t>
      </w:r>
      <w:r>
        <w:rPr>
          <w:rFonts w:ascii="Times New Roman" w:cs="Times New Roman" w:eastAsia="Times New Roman" w:hAnsi="Times New Roman"/>
          <w:sz w:val="18"/>
          <w:szCs w:val="18"/>
          <w:color w:val="auto"/>
        </w:rPr>
        <w:t>” means the Securities Act of 1933, including all amendments thereto and regulations promulgated thereunder.</w:t>
      </w:r>
    </w:p>
    <w:p>
      <w:pPr>
        <w:spacing w:after="0" w:line="22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Security Agreement</w:t>
      </w:r>
      <w:r>
        <w:rPr>
          <w:rFonts w:ascii="Times New Roman" w:cs="Times New Roman" w:eastAsia="Times New Roman" w:hAnsi="Times New Roman"/>
          <w:sz w:val="18"/>
          <w:szCs w:val="18"/>
          <w:color w:val="auto"/>
        </w:rPr>
        <w:t>” means the security and pledge agreement, dated as of the Closing Date, executed in favor of the Administrative Agent by each of the U.S. Loan Parties.</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September 2025 Equity Issuance</w:t>
      </w:r>
      <w:r>
        <w:rPr>
          <w:rFonts w:ascii="Times New Roman" w:cs="Times New Roman" w:eastAsia="Times New Roman" w:hAnsi="Times New Roman"/>
          <w:sz w:val="18"/>
          <w:szCs w:val="18"/>
          <w:color w:val="auto"/>
        </w:rPr>
        <w:t>” means the issuance of 7,042,254 shares of capital stock of the Borrower, at a purchase price equal to $0.71 per share, completed on September 30, 2025.</w:t>
      </w:r>
    </w:p>
    <w:p>
      <w:pPr>
        <w:spacing w:after="0" w:line="15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Seventh Amendment</w:t>
      </w:r>
      <w:r>
        <w:rPr>
          <w:rFonts w:ascii="Times New Roman" w:cs="Times New Roman" w:eastAsia="Times New Roman" w:hAnsi="Times New Roman"/>
          <w:sz w:val="18"/>
          <w:szCs w:val="18"/>
          <w:u w:val="single" w:color="auto"/>
          <w:color w:val="0000FF"/>
        </w:rPr>
        <w:t>” means that certain Seventh Amendment to the Credit Agreement dated as of the Seventh Amendment Effective Date, by and among the Borrower, the Guarantors, the Lenders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-48895</wp:posOffset>
            </wp:positionV>
            <wp:extent cx="285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rPr>
        <w:t>Seventh Amendment Effective Date</w:t>
      </w:r>
      <w:r>
        <w:rPr>
          <w:rFonts w:ascii="Times New Roman" w:cs="Times New Roman" w:eastAsia="Times New Roman" w:hAnsi="Times New Roman"/>
          <w:sz w:val="18"/>
          <w:szCs w:val="18"/>
          <w:u w:val="single" w:color="auto"/>
          <w:color w:val="0000FF"/>
        </w:rPr>
        <w:t>” means April 16, 2026.</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Sixth Amendment</w:t>
      </w:r>
      <w:r>
        <w:rPr>
          <w:rFonts w:ascii="Times New Roman" w:cs="Times New Roman" w:eastAsia="Times New Roman" w:hAnsi="Times New Roman"/>
          <w:sz w:val="18"/>
          <w:szCs w:val="18"/>
          <w:color w:val="auto"/>
        </w:rPr>
        <w:t>” means that certain Limited Waiver and Sixth Amendment to the Credit Agreement dated as of the Sixth Amendment Effective Date, by and among the Borrower, the Guarantors, the Lenders and the Administrative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Sixth Amendment Effective Date</w:t>
      </w:r>
      <w:r>
        <w:rPr>
          <w:rFonts w:ascii="Times New Roman" w:cs="Times New Roman" w:eastAsia="Times New Roman" w:hAnsi="Times New Roman"/>
          <w:sz w:val="18"/>
          <w:szCs w:val="18"/>
          <w:color w:val="auto"/>
        </w:rPr>
        <w:t>” means January 23,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SOFR Adjustment</w:t>
      </w:r>
      <w:r>
        <w:rPr>
          <w:rFonts w:ascii="Times New Roman" w:cs="Times New Roman" w:eastAsia="Times New Roman" w:hAnsi="Times New Roman"/>
          <w:sz w:val="18"/>
          <w:szCs w:val="18"/>
          <w:color w:val="auto"/>
        </w:rPr>
        <w:t>” with respect to Daily Simple SOFR means 0.10% (10.0 basis points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with respect to Term SOFR means 0.10% (10 basis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points).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Solvency Certificate</w:t>
      </w:r>
      <w:r>
        <w:rPr>
          <w:rFonts w:ascii="Times New Roman" w:cs="Times New Roman" w:eastAsia="Times New Roman" w:hAnsi="Times New Roman"/>
          <w:sz w:val="18"/>
          <w:szCs w:val="18"/>
          <w:color w:val="auto"/>
        </w:rPr>
        <w:t xml:space="preserve">” means a solvency certificate in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1" w:name="page62"/>
    <w:bookmarkEnd w:id="6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auto"/>
        </w:rPr>
        <w:t>Solvency</w:t>
      </w:r>
      <w:r>
        <w:rPr>
          <w:rFonts w:ascii="Times New Roman" w:cs="Times New Roman" w:eastAsia="Times New Roman" w:hAnsi="Times New Roman"/>
          <w:sz w:val="18"/>
          <w:szCs w:val="18"/>
          <w:color w:val="auto"/>
        </w:rPr>
        <w:t>” mean, with respect to any Person on any date of determination considered on a consolidated basis with other applicable Persons, that on such date (a) the fair value of the property of such Person is greater than the total amount of liabilities, including contingent liabilities, of such Person, which for this purpose shall include rights of contribution in respect of obligations for which such Person has provided a Guarantee, (b) the present fair saleable value of the assets of such Person is not less than the amount that will be required to pay the probable liability of such Person on its debts as they become absolute and matured, which for this purpose shall include rights of contribution in respect of obligations for which such Person has provided a Guarantee,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Specified Cure Period</w:t>
      </w:r>
      <w:r>
        <w:rPr>
          <w:rFonts w:ascii="Times New Roman" w:cs="Times New Roman" w:eastAsia="Times New Roman" w:hAnsi="Times New Roman"/>
          <w:sz w:val="18"/>
          <w:szCs w:val="18"/>
          <w:color w:val="FF0000"/>
          <w:strike w:val="1"/>
        </w:rPr>
        <w:t>” means any Measurement Period that includes in the calculation of Consolidated EBITDA for such Measurement Period any portion of the cash proceeds of the March 2025 Equity Issuance, the September 2025 Equity Issuance and/or any Specified Equity Issuance.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Specified Cure Quarter</w:t>
      </w:r>
      <w:r>
        <w:rPr>
          <w:rFonts w:ascii="Times New Roman" w:cs="Times New Roman" w:eastAsia="Times New Roman" w:hAnsi="Times New Roman"/>
          <w:sz w:val="18"/>
          <w:szCs w:val="18"/>
          <w:color w:val="FF0000"/>
          <w:strike w:val="1"/>
        </w:rPr>
        <w:t>” has the meaning set forth in the definition of “Consolidated EBITDA”.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Specified Equity Issuance</w:t>
      </w:r>
      <w:r>
        <w:rPr>
          <w:rFonts w:ascii="Times New Roman" w:cs="Times New Roman" w:eastAsia="Times New Roman" w:hAnsi="Times New Roman"/>
          <w:sz w:val="18"/>
          <w:szCs w:val="18"/>
          <w:color w:val="FF0000"/>
          <w:strike w:val="1"/>
        </w:rPr>
        <w:t>” has the meaning set forth in the definition of “Consolidated EBITDA”.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Specified Event of Default</w:t>
      </w:r>
      <w:r>
        <w:rPr>
          <w:rFonts w:ascii="Times New Roman" w:cs="Times New Roman" w:eastAsia="Times New Roman" w:hAnsi="Times New Roman"/>
          <w:sz w:val="18"/>
          <w:szCs w:val="18"/>
          <w:color w:val="auto"/>
        </w:rPr>
        <w:t xml:space="preserve">” means an Event of Default under </w:t>
      </w:r>
      <w:r>
        <w:rPr>
          <w:rFonts w:ascii="Times New Roman" w:cs="Times New Roman" w:eastAsia="Times New Roman" w:hAnsi="Times New Roman"/>
          <w:sz w:val="18"/>
          <w:szCs w:val="18"/>
          <w:u w:val="single" w:color="auto"/>
          <w:color w:val="auto"/>
        </w:rPr>
        <w:t>Sections 8.01(b)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(j) 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Specified Loan Party</w:t>
      </w:r>
      <w:r>
        <w:rPr>
          <w:rFonts w:ascii="Times New Roman" w:cs="Times New Roman" w:eastAsia="Times New Roman" w:hAnsi="Times New Roman"/>
          <w:sz w:val="18"/>
          <w:szCs w:val="18"/>
          <w:color w:val="auto"/>
        </w:rPr>
        <w:t xml:space="preserve">” means any Loan Party that is not then an “eligible contract participant” under the Commodity Exchange Act (determined prior to giving effect to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Specified Period</w:t>
      </w:r>
      <w:r>
        <w:rPr>
          <w:rFonts w:ascii="Times New Roman" w:cs="Times New Roman" w:eastAsia="Times New Roman" w:hAnsi="Times New Roman"/>
          <w:sz w:val="18"/>
          <w:szCs w:val="18"/>
          <w:color w:val="FF0000"/>
          <w:strike w:val="1"/>
        </w:rPr>
        <w:t>” means the period commencing with the Third Amendment Effective Date and ending on the first date that the Borrower delivers to the Administrative Agent a Compliance Certificate demonstrating that the Consolidated Leverage Ratio as of the last day of the most recently ended Measurement Period was less than 3.50:1.00.</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Subordinated Indebtedness</w:t>
      </w:r>
      <w:r>
        <w:rPr>
          <w:rFonts w:ascii="Times New Roman" w:cs="Times New Roman" w:eastAsia="Times New Roman" w:hAnsi="Times New Roman"/>
          <w:sz w:val="18"/>
          <w:szCs w:val="18"/>
          <w:color w:val="auto"/>
        </w:rPr>
        <w:t>” means Indebtedness incurred by any Loan Party which by its terms (a) is subordinated in right of payment to the prior payment of the Obligations and (b) contains other terms, including, without limitation, standstill, interest rate, maturity and amortization, and insolvency-related provisions, in all respects reasonably acceptable to the Administrative Agent.</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Subsidiary</w:t>
      </w:r>
      <w:r>
        <w:rPr>
          <w:rFonts w:ascii="Times New Roman" w:cs="Times New Roman" w:eastAsia="Times New Roman" w:hAnsi="Times New Roman"/>
          <w:sz w:val="18"/>
          <w:szCs w:val="18"/>
          <w:color w:val="auto"/>
        </w:rPr>
        <w:t>” of a Person means a corporation, partnership, limited liability company or other business entity of which a majority of the shares of Voting Stock is at the time beneficially owned, directly or indirectly, by such Person. Unless otherwise specified, all references herein to a “Subsidiary” or to “Subsidiaries” shall refer to a Subsidiary or Subsidiaries of the Borrower.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Supported QFC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Surviving Company Conversion</w:t>
      </w:r>
      <w:r>
        <w:rPr>
          <w:rFonts w:ascii="Times New Roman" w:cs="Times New Roman" w:eastAsia="Times New Roman" w:hAnsi="Times New Roman"/>
          <w:sz w:val="18"/>
          <w:szCs w:val="18"/>
          <w:color w:val="auto"/>
        </w:rPr>
        <w:t>” has the meaning set forth in the Fourth Amendment.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i w:val="1"/>
          <w:iCs w:val="1"/>
          <w:u w:val="single" w:color="auto"/>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Agreement</w:t>
      </w:r>
      <w:r>
        <w:rPr>
          <w:rFonts w:ascii="Times New Roman" w:cs="Times New Roman" w:eastAsia="Times New Roman" w:hAnsi="Times New Roman"/>
          <w:sz w:val="18"/>
          <w:szCs w:val="18"/>
          <w:color w:val="auto"/>
        </w:rPr>
        <w:t>”), including any such obligations or liabilities under any Master Agreement.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2" w:name="page63"/>
    <w:bookmarkEnd w:id="62"/>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Swap Termination Value</w:t>
      </w:r>
      <w:r>
        <w:rPr>
          <w:rFonts w:ascii="Times New Roman" w:cs="Times New Roman" w:eastAsia="Times New Roman" w:hAnsi="Times New Roman"/>
          <w:sz w:val="18"/>
          <w:szCs w:val="18"/>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Swingline Borrowing</w:t>
      </w:r>
      <w:r>
        <w:rPr>
          <w:rFonts w:ascii="Times New Roman" w:cs="Times New Roman" w:eastAsia="Times New Roman" w:hAnsi="Times New Roman"/>
          <w:sz w:val="18"/>
          <w:szCs w:val="18"/>
          <w:color w:val="FF0000"/>
          <w:strike w:val="1"/>
        </w:rPr>
        <w:t xml:space="preserve">” means a borrowing of a Swingline Loan pursuant to </w:t>
      </w:r>
      <w:r>
        <w:rPr>
          <w:rFonts w:ascii="Times New Roman" w:cs="Times New Roman" w:eastAsia="Times New Roman" w:hAnsi="Times New Roman"/>
          <w:sz w:val="18"/>
          <w:szCs w:val="18"/>
          <w:u w:val="single" w:color="auto"/>
          <w:color w:val="FF0000"/>
          <w:strike w:val="1"/>
        </w:rPr>
        <w:t>Section 2.04</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Swingline Commitment</w:t>
      </w:r>
      <w:r>
        <w:rPr>
          <w:rFonts w:ascii="Times New Roman" w:cs="Times New Roman" w:eastAsia="Times New Roman" w:hAnsi="Times New Roman"/>
          <w:sz w:val="18"/>
          <w:szCs w:val="18"/>
          <w:color w:val="FF0000"/>
          <w:strike w:val="1"/>
        </w:rPr>
        <w:t xml:space="preserve">” means, as to any Lender (a) the amount set forth opposite such Lender’s name on </w:t>
      </w:r>
      <w:r>
        <w:rPr>
          <w:rFonts w:ascii="Times New Roman" w:cs="Times New Roman" w:eastAsia="Times New Roman" w:hAnsi="Times New Roman"/>
          <w:sz w:val="18"/>
          <w:szCs w:val="18"/>
          <w:u w:val="single" w:color="auto"/>
          <w:color w:val="FF0000"/>
          <w:strike w:val="1"/>
        </w:rPr>
        <w:t>Schedule 2.01</w:t>
      </w:r>
      <w:r>
        <w:rPr>
          <w:rFonts w:ascii="Times New Roman" w:cs="Times New Roman" w:eastAsia="Times New Roman" w:hAnsi="Times New Roman"/>
          <w:sz w:val="18"/>
          <w:szCs w:val="18"/>
          <w:color w:val="FF0000"/>
          <w:strike w:val="1"/>
        </w:rPr>
        <w:t xml:space="preserve"> hereof or (b) if such Lender has entered into an Assignment and Assumption or has otherwise assumed a Swingline Commitment after the Closing Date, the amount set forth for such Lender as its Swingline Commitment in the Register maintained by the Administrative Agent pursuant to </w:t>
      </w:r>
      <w:r>
        <w:rPr>
          <w:rFonts w:ascii="Times New Roman" w:cs="Times New Roman" w:eastAsia="Times New Roman" w:hAnsi="Times New Roman"/>
          <w:sz w:val="18"/>
          <w:szCs w:val="18"/>
          <w:u w:val="single" w:color="auto"/>
          <w:color w:val="FF0000"/>
          <w:strike w:val="1"/>
        </w:rPr>
        <w:t>Section 11.06(c</w:t>
      </w:r>
      <w:r>
        <w:rPr>
          <w:rFonts w:ascii="Times New Roman" w:cs="Times New Roman" w:eastAsia="Times New Roman" w:hAnsi="Times New Roman"/>
          <w:sz w:val="18"/>
          <w:szCs w:val="18"/>
          <w:color w:val="FF0000"/>
          <w:strike w:val="1"/>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Swingline Lender</w:t>
      </w:r>
      <w:r>
        <w:rPr>
          <w:rFonts w:ascii="Times New Roman" w:cs="Times New Roman" w:eastAsia="Times New Roman" w:hAnsi="Times New Roman"/>
          <w:sz w:val="18"/>
          <w:szCs w:val="18"/>
          <w:color w:val="FF0000"/>
          <w:strike w:val="1"/>
        </w:rPr>
        <w:t>” means Bank of America in its capacity as provider of Swingline Loans, or any successor swingline lender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Swingline Loan</w:t>
      </w:r>
      <w:r>
        <w:rPr>
          <w:rFonts w:ascii="Times New Roman" w:cs="Times New Roman" w:eastAsia="Times New Roman" w:hAnsi="Times New Roman"/>
          <w:sz w:val="18"/>
          <w:szCs w:val="18"/>
          <w:color w:val="FF0000"/>
          <w:strike w:val="1"/>
        </w:rPr>
        <w:t xml:space="preserve">” has the meaning specified in </w:t>
      </w:r>
      <w:r>
        <w:rPr>
          <w:rFonts w:ascii="Times New Roman" w:cs="Times New Roman" w:eastAsia="Times New Roman" w:hAnsi="Times New Roman"/>
          <w:sz w:val="18"/>
          <w:szCs w:val="18"/>
          <w:u w:val="single" w:color="auto"/>
          <w:color w:val="FF0000"/>
          <w:strike w:val="1"/>
        </w:rPr>
        <w:t>Section 2.04(a</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Swingline Loan Notice</w:t>
      </w:r>
      <w:r>
        <w:rPr>
          <w:rFonts w:ascii="Times New Roman" w:cs="Times New Roman" w:eastAsia="Times New Roman" w:hAnsi="Times New Roman"/>
          <w:sz w:val="18"/>
          <w:szCs w:val="18"/>
          <w:color w:val="FF0000"/>
          <w:strike w:val="1"/>
        </w:rPr>
        <w:t xml:space="preserve">” means a notice of a Swingline Borrowing pursuant to </w:t>
      </w:r>
      <w:r>
        <w:rPr>
          <w:rFonts w:ascii="Times New Roman" w:cs="Times New Roman" w:eastAsia="Times New Roman" w:hAnsi="Times New Roman"/>
          <w:sz w:val="18"/>
          <w:szCs w:val="18"/>
          <w:u w:val="single" w:color="auto"/>
          <w:color w:val="FF0000"/>
          <w:strike w:val="1"/>
        </w:rPr>
        <w:t>Section 2.04(b</w:t>
      </w:r>
      <w:r>
        <w:rPr>
          <w:rFonts w:ascii="Times New Roman" w:cs="Times New Roman" w:eastAsia="Times New Roman" w:hAnsi="Times New Roman"/>
          <w:sz w:val="18"/>
          <w:szCs w:val="18"/>
          <w:color w:val="FF0000"/>
          <w:strike w:val="1"/>
        </w:rPr>
        <w:t xml:space="preserve">), which shall be substantially in the form of </w:t>
      </w:r>
      <w:r>
        <w:rPr>
          <w:rFonts w:ascii="Times New Roman" w:cs="Times New Roman" w:eastAsia="Times New Roman" w:hAnsi="Times New Roman"/>
          <w:sz w:val="18"/>
          <w:szCs w:val="18"/>
          <w:u w:val="single" w:color="auto"/>
          <w:color w:val="FF0000"/>
          <w:strike w:val="1"/>
        </w:rPr>
        <w:t xml:space="preserve">Exhibit J </w:t>
      </w:r>
      <w:r>
        <w:rPr>
          <w:rFonts w:ascii="Times New Roman" w:cs="Times New Roman" w:eastAsia="Times New Roman" w:hAnsi="Times New Roman"/>
          <w:sz w:val="18"/>
          <w:szCs w:val="18"/>
          <w:color w:val="FF0000"/>
          <w:strike w:val="1"/>
        </w:rPr>
        <w:t>or such other form as approved by the Administrative Agent (including any form on an electronic platform or electronic transmission system as</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shall be approved by the Administrative Agent), appropriately completed and signed by a Responsible Officer of the Borrower.</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Swingline Sublimit</w:t>
      </w:r>
      <w:r>
        <w:rPr>
          <w:rFonts w:ascii="Times New Roman" w:cs="Times New Roman" w:eastAsia="Times New Roman" w:hAnsi="Times New Roman"/>
          <w:sz w:val="18"/>
          <w:szCs w:val="18"/>
          <w:color w:val="FF0000"/>
          <w:strike w:val="1"/>
        </w:rPr>
        <w:t>” means an amount equal to the lesser of (a) $5,000,000 and (b) the Revolving Facility. The Swingline Sublimit is part of, and not in addition to, the Revolving Facility.</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Synthetic Debt</w:t>
      </w:r>
      <w:r>
        <w:rPr>
          <w:rFonts w:ascii="Times New Roman" w:cs="Times New Roman" w:eastAsia="Times New Roman" w:hAnsi="Times New Roman"/>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a so-called synthetic, off-balance sheet or tax retention lease, or</w:t>
      </w:r>
    </w:p>
    <w:p>
      <w:pPr>
        <w:spacing w:after="0" w:line="29" w:lineRule="exact"/>
        <w:rPr>
          <w:sz w:val="20"/>
          <w:szCs w:val="20"/>
          <w:color w:val="auto"/>
        </w:rPr>
      </w:pPr>
    </w:p>
    <w:p>
      <w:pPr>
        <w:jc w:val="both"/>
        <w:ind w:firstLine="8"/>
        <w:spacing w:after="0" w:line="255"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for the use or possession of property,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Target</w:t>
      </w:r>
      <w:r>
        <w:rPr>
          <w:rFonts w:ascii="Times New Roman" w:cs="Times New Roman" w:eastAsia="Times New Roman" w:hAnsi="Times New Roman"/>
          <w:sz w:val="18"/>
          <w:szCs w:val="18"/>
          <w:color w:val="auto"/>
        </w:rPr>
        <w:t>” has the meaning set forth in the definition of “Permitted Acquisition.”</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Term Borrowing</w:t>
      </w:r>
      <w:r>
        <w:rPr>
          <w:rFonts w:ascii="Times New Roman" w:cs="Times New Roman" w:eastAsia="Times New Roman" w:hAnsi="Times New Roman"/>
          <w:sz w:val="18"/>
          <w:szCs w:val="18"/>
          <w:color w:val="auto"/>
        </w:rPr>
        <w:t xml:space="preserve">” means a borrowing consisting of simultaneous Term Loans of the same Type and, in the case of Term SOFR Loans, having the same Interest Period made by each of the Term Lenders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Term Commitment</w:t>
      </w:r>
      <w:r>
        <w:rPr>
          <w:rFonts w:ascii="Times New Roman" w:cs="Times New Roman" w:eastAsia="Times New Roman" w:hAnsi="Times New Roman"/>
          <w:sz w:val="18"/>
          <w:szCs w:val="18"/>
          <w:color w:val="auto"/>
        </w:rPr>
        <w:t xml:space="preserve">” means, as to each Term Lender, its obligation to make Term Loans to the Borrower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in an aggregate principal amount at any one time outstanding not to exceed the amount set forth opposite such Term Lender’s name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under the caption “Term Commitment” or opposite such caption in the Assignment and Assumption pursuant to which such Term Lender becomes a party hereto, as applicable, as such amount may be adjusted from time to time in accordance with this Agreement. The Term Commitment of all of the Term Lenders on the Closing Date was $150,000,000.</w:t>
      </w:r>
    </w:p>
    <w:p>
      <w:pPr>
        <w:spacing w:after="0" w:line="183"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Term Facility</w:t>
      </w:r>
      <w:r>
        <w:rPr>
          <w:rFonts w:ascii="Times New Roman" w:cs="Times New Roman" w:eastAsia="Times New Roman" w:hAnsi="Times New Roman"/>
          <w:sz w:val="18"/>
          <w:szCs w:val="18"/>
          <w:color w:val="auto"/>
        </w:rPr>
        <w:t>” means, at any time, (a) on or prior to the Closing Date, the aggregate amount of the Term Commitments at such time and (b) thereafter, the aggregate principal amount of the Term Loans of all Term Lenders outstanding at such time.</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Term Lender</w:t>
      </w:r>
      <w:r>
        <w:rPr>
          <w:rFonts w:ascii="Times New Roman" w:cs="Times New Roman" w:eastAsia="Times New Roman" w:hAnsi="Times New Roman"/>
          <w:sz w:val="18"/>
          <w:szCs w:val="18"/>
          <w:color w:val="auto"/>
        </w:rPr>
        <w:t>” means (a) at any time on or prior to the Closing Date, any Lender that has a Term Commitment at such time and (b) at any time after the Closing Date, any Lender that holds Term Loans at such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Term Loan</w:t>
      </w:r>
      <w:r>
        <w:rPr>
          <w:rFonts w:ascii="Times New Roman" w:cs="Times New Roman" w:eastAsia="Times New Roman" w:hAnsi="Times New Roman"/>
          <w:sz w:val="18"/>
          <w:szCs w:val="18"/>
          <w:color w:val="auto"/>
        </w:rPr>
        <w:t>” means an advance made by any Term Lender under the Term Facility.</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Term Note</w:t>
      </w:r>
      <w:r>
        <w:rPr>
          <w:rFonts w:ascii="Times New Roman" w:cs="Times New Roman" w:eastAsia="Times New Roman" w:hAnsi="Times New Roman"/>
          <w:sz w:val="18"/>
          <w:szCs w:val="18"/>
          <w:color w:val="auto"/>
        </w:rPr>
        <w:t xml:space="preserve">” means a promissory note made by the Borrower in favor of a Term Lender evidencing Term Loans made by such Term Lender, substantially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Term SOFR</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SOFR Adjustment for such Interest Period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180" w:lineRule="exact"/>
        <w:rPr>
          <w:sz w:val="20"/>
          <w:szCs w:val="20"/>
          <w:color w:val="auto"/>
        </w:rPr>
      </w:pPr>
    </w:p>
    <w:p>
      <w:pPr>
        <w:jc w:val="both"/>
        <w:ind w:left="660" w:firstLine="648"/>
        <w:spacing w:after="0" w:line="276" w:lineRule="auto"/>
        <w:rPr>
          <w:sz w:val="20"/>
          <w:szCs w:val="20"/>
          <w:color w:val="auto"/>
        </w:rPr>
      </w:pPr>
      <w:r>
        <w:rPr>
          <w:rFonts w:ascii="Times New Roman" w:cs="Times New Roman" w:eastAsia="Times New Roman" w:hAnsi="Times New Roman"/>
          <w:sz w:val="17"/>
          <w:szCs w:val="17"/>
          <w:color w:val="auto"/>
        </w:rPr>
        <w:t xml:space="preserve">(b)            for any interest calculation with respect to a Base Rate Loan on any date, the rate per annum equal to the Term SOFR Screen Rate with a term of one month commencing that day;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that if the Term SOFR determined in accordance with either of the foregoing provisions</w:t>
      </w:r>
    </w:p>
    <w:p>
      <w:pPr>
        <w:spacing w:after="0" w:line="1" w:lineRule="exact"/>
        <w:rPr>
          <w:sz w:val="20"/>
          <w:szCs w:val="20"/>
          <w:color w:val="auto"/>
        </w:rPr>
      </w:pPr>
    </w:p>
    <w:p>
      <w:pPr>
        <w:ind w:left="660" w:right="1100" w:hanging="4"/>
        <w:spacing w:after="0" w:line="511" w:lineRule="auto"/>
        <w:tabs>
          <w:tab w:leader="none" w:pos="9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of this definition would otherwise be less than zero, the Term SOFR shall be deemed zero for purposes of this Agreement. “</w:t>
      </w:r>
      <w:r>
        <w:rPr>
          <w:rFonts w:ascii="Times New Roman" w:cs="Times New Roman" w:eastAsia="Times New Roman" w:hAnsi="Times New Roman"/>
          <w:sz w:val="18"/>
          <w:szCs w:val="18"/>
          <w:i w:val="1"/>
          <w:iCs w:val="1"/>
          <w:u w:val="single" w:color="auto"/>
          <w:color w:val="auto"/>
        </w:rPr>
        <w:t>Term SOFR Loan</w:t>
      </w:r>
      <w:r>
        <w:rPr>
          <w:rFonts w:ascii="Times New Roman" w:cs="Times New Roman" w:eastAsia="Times New Roman" w:hAnsi="Times New Roman"/>
          <w:sz w:val="18"/>
          <w:szCs w:val="18"/>
          <w:color w:val="auto"/>
        </w:rPr>
        <w:t>” means a Loan that bears interest at a rate based on clause (a) of the definition of Term SOFR.</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4" w:name="page65"/>
    <w:bookmarkEnd w:id="64"/>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Third Amendment Effective Date</w:t>
      </w:r>
      <w:r>
        <w:rPr>
          <w:rFonts w:ascii="Times New Roman" w:cs="Times New Roman" w:eastAsia="Times New Roman" w:hAnsi="Times New Roman"/>
          <w:sz w:val="18"/>
          <w:szCs w:val="18"/>
          <w:color w:val="auto"/>
        </w:rPr>
        <w:t>” means February 14, 2025.</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Total Assets</w:t>
      </w:r>
      <w:r>
        <w:rPr>
          <w:rFonts w:ascii="Times New Roman" w:cs="Times New Roman" w:eastAsia="Times New Roman" w:hAnsi="Times New Roman"/>
          <w:sz w:val="18"/>
          <w:szCs w:val="18"/>
          <w:color w:val="auto"/>
        </w:rPr>
        <w:t xml:space="preserve">” shall mean, as of any date, the total assets of the Borrower and its Restricted Subsidiaries as of the most recent fiscal quarter end for which financial statements have been delivered pursuant to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total goodwill and other intangible assets of the Borrower and its Restricted Subsidiaries reflected on such financial statements, all calculated on a Consolidated basis in accordance with GAAP.</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Total Credit Exposure</w:t>
      </w:r>
      <w:r>
        <w:rPr>
          <w:rFonts w:ascii="Times New Roman" w:cs="Times New Roman" w:eastAsia="Times New Roman" w:hAnsi="Times New Roman"/>
          <w:sz w:val="18"/>
          <w:szCs w:val="18"/>
          <w:color w:val="auto"/>
        </w:rPr>
        <w:t>” means, as to any Lender at any time, the unused Commitments, Revolving Exposure and Outstanding Amount of all Term Loans of such Lender at such time.</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Total Funded Debt</w:t>
      </w:r>
      <w:r>
        <w:rPr>
          <w:rFonts w:ascii="Times New Roman" w:cs="Times New Roman" w:eastAsia="Times New Roman" w:hAnsi="Times New Roman"/>
          <w:sz w:val="18"/>
          <w:szCs w:val="18"/>
          <w:color w:val="auto"/>
        </w:rPr>
        <w:t>” means, as to any Person at a particular time, without duplication, the sum of: (a) the outstanding principal amount of all obligations of such Person, whether current or long-term, for borrowed money and all obligations evidenced by bonds, debentures, notes or other similar instruments (including Obligations thereunder); (b) all obligations of such Person under conditional sale or other title retention agreements relating to property or assets purchased by such Person; (c) all outstanding reimbursement obligations of such Person as an account party in respect of letters of credit and in respect of bankers’ acceptances; (d) all obligations of such Person in respect of the deferred purchase price of property or services (other than trade accounts payable and accrued obligations in the ordinary course of business); (e) all Attributable Indebtedness; (f) the liquidation value of all Disqualified Preferred Stock of such Person; (g) without duplication, all Guarantees of such Person with respect to outstanding indebtedness of the types specified in clauses (a) through (f) above of Persons other than the Borrower or any Restricted Subsidiary; and (h) all indebtedness of such Person of the types referred to in clauses (a) through (g) above of any partnership in which the Borrower or a Restricted Subsidiary is a general partner, unless such indebtedness is expressly made non-recourse to the Borrower or such Restricted Subsidiary.</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Total Revolving Exposure</w:t>
      </w:r>
      <w:r>
        <w:rPr>
          <w:rFonts w:ascii="Times New Roman" w:cs="Times New Roman" w:eastAsia="Times New Roman" w:hAnsi="Times New Roman"/>
          <w:sz w:val="18"/>
          <w:szCs w:val="18"/>
          <w:color w:val="auto"/>
        </w:rPr>
        <w:t>” means, as to any Revolving Lender at any time, the unused Commitments and Revolving Exposure of such Revolving Lender at such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Total Revolving Outstandings</w:t>
      </w:r>
      <w:r>
        <w:rPr>
          <w:rFonts w:ascii="Times New Roman" w:cs="Times New Roman" w:eastAsia="Times New Roman" w:hAnsi="Times New Roman"/>
          <w:sz w:val="18"/>
          <w:szCs w:val="18"/>
          <w:color w:val="auto"/>
        </w:rPr>
        <w:t>” means the aggregate Outstanding Amount of all Revolving Loans</w:t>
      </w:r>
      <w:r>
        <w:rPr>
          <w:rFonts w:ascii="Times New Roman" w:cs="Times New Roman" w:eastAsia="Times New Roman" w:hAnsi="Times New Roman"/>
          <w:sz w:val="18"/>
          <w:szCs w:val="18"/>
          <w:color w:val="FF0000"/>
          <w:strike w:val="1"/>
        </w:rPr>
        <w:t>, Swingline Loans</w:t>
      </w:r>
      <w:r>
        <w:rPr>
          <w:rFonts w:ascii="Times New Roman" w:cs="Times New Roman" w:eastAsia="Times New Roman" w:hAnsi="Times New Roman"/>
          <w:sz w:val="18"/>
          <w:szCs w:val="18"/>
          <w:color w:val="auto"/>
        </w:rPr>
        <w:t xml:space="preserve"> and L/C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Trade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Transactions</w:t>
      </w:r>
      <w:r>
        <w:rPr>
          <w:rFonts w:ascii="Times New Roman" w:cs="Times New Roman" w:eastAsia="Times New Roman" w:hAnsi="Times New Roman"/>
          <w:sz w:val="18"/>
          <w:szCs w:val="18"/>
          <w:color w:val="auto"/>
        </w:rPr>
        <w:t>” shall mean, collectively, the transactions contemplated by this Agreement to occur on or substantially concurrently with the Closing Date, including, without limitation, the Borrowing of Term Loans by the Borrower, the making of Guarantees of the Secured Obligations by the Guarantors (if any as of the Closing Date), the granting of the Collateral by the U.S. Loan Parties, the repayment of the Existing Term Loan Credit Agreement and the Existing ABL Credit Agreement and the payment of fees and expenses connection therewith.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Type</w:t>
      </w:r>
      <w:r>
        <w:rPr>
          <w:rFonts w:ascii="Times New Roman" w:cs="Times New Roman" w:eastAsia="Times New Roman" w:hAnsi="Times New Roman"/>
          <w:sz w:val="18"/>
          <w:szCs w:val="18"/>
          <w:color w:val="auto"/>
        </w:rPr>
        <w:t>” means, with respect to a Loan, its character as a Base Rate Loan or a Term SOFR Loan.</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5" w:name="page66"/>
    <w:bookmarkEnd w:id="6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UCC</w:t>
      </w:r>
      <w:r>
        <w:rPr>
          <w:rFonts w:ascii="Times New Roman" w:cs="Times New Roman" w:eastAsia="Times New Roman" w:hAnsi="Times New Roman"/>
          <w:sz w:val="18"/>
          <w:szCs w:val="18"/>
          <w:color w:val="auto"/>
        </w:rPr>
        <w:t xml:space="preserve">” means the Uniform Commercial Code as in effect in the State of New York;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18"/>
          <w:szCs w:val="18"/>
          <w:i w:val="1"/>
          <w:iCs w:val="1"/>
          <w:u w:val="single" w:color="auto"/>
          <w:color w:val="auto"/>
        </w:rPr>
        <w:t>UCC</w:t>
      </w:r>
      <w:r>
        <w:rPr>
          <w:rFonts w:ascii="Times New Roman" w:cs="Times New Roman" w:eastAsia="Times New Roman" w:hAnsi="Times New Roman"/>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UCP</w:t>
      </w:r>
      <w:r>
        <w:rPr>
          <w:rFonts w:ascii="Times New Roman" w:cs="Times New Roman" w:eastAsia="Times New Roman" w:hAnsi="Times New Roman"/>
          <w:sz w:val="18"/>
          <w:szCs w:val="18"/>
          <w:color w:val="auto"/>
        </w:rPr>
        <w:t>” means the Uniform Customs and Practice for Documentary Credits, International Chamber of Commerce Publication No. 600 (or such later version thereof as may be in effect at the applicable time).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auto"/>
        </w:rPr>
        <w:t>U</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Unrestricted Subsidiary</w:t>
      </w:r>
      <w:r>
        <w:rPr>
          <w:rFonts w:ascii="Times New Roman" w:cs="Times New Roman" w:eastAsia="Times New Roman" w:hAnsi="Times New Roman"/>
          <w:sz w:val="18"/>
          <w:szCs w:val="18"/>
          <w:color w:val="auto"/>
        </w:rPr>
        <w:t xml:space="preserve">” means any Subsidiary of the Borrower listed on </w:t>
      </w:r>
      <w:r>
        <w:rPr>
          <w:rFonts w:ascii="Times New Roman" w:cs="Times New Roman" w:eastAsia="Times New Roman" w:hAnsi="Times New Roman"/>
          <w:sz w:val="18"/>
          <w:szCs w:val="18"/>
          <w:u w:val="single" w:color="auto"/>
          <w:color w:val="auto"/>
        </w:rPr>
        <w:t>Schedule 1.01(f)</w:t>
      </w:r>
      <w:r>
        <w:rPr>
          <w:rFonts w:ascii="Times New Roman" w:cs="Times New Roman" w:eastAsia="Times New Roman" w:hAnsi="Times New Roman"/>
          <w:sz w:val="18"/>
          <w:szCs w:val="18"/>
          <w:color w:val="auto"/>
        </w:rPr>
        <w:t xml:space="preserve"> as of the Closing Date, any Subsidiary of the Borrower designated as an “Unrestricted Subsidiary” pursuant to and in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and any Subsidiary of an Unrestricted Subsidiary, in each case unless subsequently designated as a Restricted Subsidiary pursuant to and in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USDA</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U.S. Loan Party</w:t>
      </w:r>
      <w:r>
        <w:rPr>
          <w:rFonts w:ascii="Times New Roman" w:cs="Times New Roman" w:eastAsia="Times New Roman" w:hAnsi="Times New Roman"/>
          <w:sz w:val="18"/>
          <w:szCs w:val="18"/>
          <w:color w:val="auto"/>
        </w:rPr>
        <w:t>” means any Loan Party that is organized under the laws of the United States, any state thereof for the District of Columbia.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U.S. Special Resolution Regimes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3.01(f)(ii)(B)(3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Voting Stock</w:t>
      </w:r>
      <w:r>
        <w:rPr>
          <w:rFonts w:ascii="Times New Roman" w:cs="Times New Roman" w:eastAsia="Times New Roman" w:hAnsi="Times New Roman"/>
          <w:sz w:val="18"/>
          <w:szCs w:val="18"/>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6" w:name="page67"/>
    <w:bookmarkEnd w:id="6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Weighted Average Life to Maturity</w:t>
      </w:r>
      <w:r>
        <w:rPr>
          <w:rFonts w:ascii="Times New Roman" w:cs="Times New Roman" w:eastAsia="Times New Roman" w:hAnsi="Times New Roman"/>
          <w:sz w:val="18"/>
          <w:szCs w:val="18"/>
          <w:color w:val="auto"/>
        </w:rPr>
        <w:t xml:space="preserve">” shall mean, when applied to any Indebtedness at any date, the number of years obtained </w:t>
      </w:r>
      <w:r>
        <w:rPr>
          <w:rFonts w:ascii="Times New Roman" w:cs="Times New Roman" w:eastAsia="Times New Roman" w:hAnsi="Times New Roman"/>
          <w:sz w:val="18"/>
          <w:szCs w:val="18"/>
          <w:i w:val="1"/>
          <w:iCs w:val="1"/>
          <w:color w:val="auto"/>
        </w:rPr>
        <w:t>by dividing</w:t>
      </w:r>
      <w:r>
        <w:rPr>
          <w:rFonts w:ascii="Times New Roman" w:cs="Times New Roman" w:eastAsia="Times New Roman" w:hAnsi="Times New Roman"/>
          <w:sz w:val="18"/>
          <w:szCs w:val="18"/>
          <w:color w:val="auto"/>
        </w:rPr>
        <w:t xml:space="preserve">: (a) the sum of the products obtained </w:t>
      </w:r>
      <w:r>
        <w:rPr>
          <w:rFonts w:ascii="Times New Roman" w:cs="Times New Roman" w:eastAsia="Times New Roman" w:hAnsi="Times New Roman"/>
          <w:sz w:val="18"/>
          <w:szCs w:val="18"/>
          <w:i w:val="1"/>
          <w:iCs w:val="1"/>
          <w:color w:val="auto"/>
        </w:rPr>
        <w:t>by multiplying</w:t>
      </w:r>
      <w:r>
        <w:rPr>
          <w:rFonts w:ascii="Times New Roman" w:cs="Times New Roman" w:eastAsia="Times New Roman" w:hAnsi="Times New Roman"/>
          <w:sz w:val="18"/>
          <w:szCs w:val="18"/>
          <w:color w:val="auto"/>
        </w:rPr>
        <w:t xml:space="preserve"> (i) the amount of each then remaining installment, sinking fund, serial maturity or other required payments of principal, including payment at final maturity, in respect thereof,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number of years (calculated to the nearest one-twelfth) that will elapse between such date and the making of such payment;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then outstanding principal amount of such Indebtedness.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wholly owned Restricted Subsidiary</w:t>
      </w:r>
      <w:r>
        <w:rPr>
          <w:rFonts w:ascii="Times New Roman" w:cs="Times New Roman" w:eastAsia="Times New Roman" w:hAnsi="Times New Roman"/>
          <w:sz w:val="18"/>
          <w:szCs w:val="18"/>
          <w:color w:val="auto"/>
        </w:rPr>
        <w:t>” shall mean a Restricted Subsidiary of the Borrower or a Restricted Subsidiary of which securities (except for directors’ qualifying shares) or other ownership interests representing 100% of the Equity Interests are, at the time any determination is being made, owned, Controlled or held by the Borrower or one or more wholly owned Restricted Subsidiaries of the Borrower or by the Borrower and one or more wholly owned Restricted Subsidiaries.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1 of Subtitle E of Title IV of ERISA.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Withholding Agent</w:t>
      </w:r>
      <w:r>
        <w:rPr>
          <w:rFonts w:ascii="Times New Roman" w:cs="Times New Roman" w:eastAsia="Times New Roman" w:hAnsi="Times New Roman"/>
          <w:sz w:val="18"/>
          <w:szCs w:val="18"/>
          <w:color w:val="auto"/>
        </w:rPr>
        <w:t>” means the Borrower and the Administrative Agent.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Write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color w:val="auto"/>
        </w:rPr>
        <w:t>Other Interpretive Provisions.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reference to this Agreement and each other Loan Document, unless otherwise specified herein or in such other Loan Document:</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7" w:name="page68"/>
    <w:bookmarkEnd w:id="6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            In the computation of periods of time from a specified date to a later specified date, the word “from” means “from and including;” the words “to” and “until” each mean “to but excluding;” and the word “through” means “to and including.”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Section headings herein and in the other Loan Documents are included for convenience of reference only and shall not affect the interpretation of this Agreement or any other Loan Document.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color w:val="auto"/>
        </w:rPr>
        <w:t>Accounting Terms.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Borrower and its Subsidiaries shall be deemed to be carried at 100% of the outstanding principal amount thereof, and the effects of FASB ASC 825 and FASB ASC 470 20 on financial liabilities shall be disregarded,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 and (iii)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the Borrower or any Subsidiary at “fair value”, as defined therein. For purposes of determining the amount of any outstanding Indebtedness, no effect shall be given to any election by the Borrower to measure an item of Indebtedness using fair value (as permitted by Financial Accounting Standards Board Accounting Standards Codification 825–10–25 (formerly known as FASB 159) or any similar accounting standard).</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8" w:name="page69"/>
    <w:bookmarkEnd w:id="68"/>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Changes in GAAP</w:t>
      </w:r>
      <w:r>
        <w:rPr>
          <w:rFonts w:ascii="Times New Roman" w:cs="Times New Roman" w:eastAsia="Times New Roman" w:hAnsi="Times New Roman"/>
          <w:sz w:val="18"/>
          <w:szCs w:val="18"/>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8"/>
          <w:szCs w:val="18"/>
          <w:color w:val="auto"/>
        </w:rPr>
        <w:t>Rounding.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1.05.</w:t>
      </w:r>
      <w:r>
        <w:rPr>
          <w:sz w:val="20"/>
          <w:szCs w:val="20"/>
          <w:color w:val="auto"/>
        </w:rPr>
        <w:tab/>
      </w:r>
      <w:r>
        <w:rPr>
          <w:rFonts w:ascii="Times New Roman" w:cs="Times New Roman" w:eastAsia="Times New Roman" w:hAnsi="Times New Roman"/>
          <w:sz w:val="17"/>
          <w:szCs w:val="17"/>
          <w:color w:val="auto"/>
        </w:rPr>
        <w:t>Times of Day.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specified, all references herein to times of day shall be references to Central time (daylight or standard, as applicable).</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8"/>
          <w:szCs w:val="18"/>
          <w:color w:val="auto"/>
        </w:rPr>
        <w:t>Letter of Credit Amounts.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1.07.</w:t>
      </w:r>
      <w:r>
        <w:rPr>
          <w:sz w:val="20"/>
          <w:szCs w:val="20"/>
          <w:color w:val="auto"/>
        </w:rPr>
        <w:tab/>
      </w:r>
      <w:r>
        <w:rPr>
          <w:rFonts w:ascii="Times New Roman" w:cs="Times New Roman" w:eastAsia="Times New Roman" w:hAnsi="Times New Roman"/>
          <w:sz w:val="17"/>
          <w:szCs w:val="17"/>
          <w:color w:val="auto"/>
        </w:rPr>
        <w:t>UCC Terms.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1.08.</w:t>
      </w:r>
      <w:r>
        <w:rPr>
          <w:sz w:val="20"/>
          <w:szCs w:val="20"/>
          <w:color w:val="auto"/>
        </w:rPr>
        <w:tab/>
      </w:r>
      <w:r>
        <w:rPr>
          <w:rFonts w:ascii="Times New Roman" w:cs="Times New Roman" w:eastAsia="Times New Roman" w:hAnsi="Times New Roman"/>
          <w:sz w:val="17"/>
          <w:szCs w:val="17"/>
          <w:color w:val="auto"/>
        </w:rPr>
        <w:t>Rates.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Administrative Agent does not warrant, nor accept responsibility, nor shall the Administrative Agent have any liability with respect to the administration, submission or any other matter related to the rates in the definition of “Term SOFR”, “SOFR”, “Daily Simple SOFR” or with respect to any Successor Rate.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1.09.</w:t>
      </w:r>
      <w:r>
        <w:rPr>
          <w:sz w:val="20"/>
          <w:szCs w:val="20"/>
          <w:color w:val="auto"/>
        </w:rPr>
        <w:tab/>
      </w:r>
      <w:r>
        <w:rPr>
          <w:rFonts w:ascii="Times New Roman" w:cs="Times New Roman" w:eastAsia="Times New Roman" w:hAnsi="Times New Roman"/>
          <w:sz w:val="18"/>
          <w:szCs w:val="18"/>
          <w:color w:val="auto"/>
        </w:rPr>
        <w:t>Limited Condition Acquisitions.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Notwithstanding anything to the contrary herein, to the extent that the terms of this Agreement require (a) compliance with any basket, financial ratio or test (including any Consolidated Leverage Ratio test or any Consolidated Fixed Charge Coverage Ratio test), (b) the absence of a Default or an Event of Default, or (c) a determination as to whether the representations and warranties contained in this Agreement or any other Loan Document, or which are contained in any document furnished at any time under or in connection herewith or therewith, shall be true and correct in all material respects (and in all respects if any such representation or warranty is already qualified by materiality or reference to Material Adverse Effect), in each case in connection with the consummation of a Limited Condition Acquisition, the determination of whether the relevant condition is satisfied may be made, at the election of the Borrower, (A) on the date of the execution of the definitive agreement with respect to such Limited Condition Acquisition (such date, the “</w:t>
      </w:r>
      <w:r>
        <w:rPr>
          <w:rFonts w:ascii="Times New Roman" w:cs="Times New Roman" w:eastAsia="Times New Roman" w:hAnsi="Times New Roman"/>
          <w:sz w:val="18"/>
          <w:szCs w:val="18"/>
          <w:i w:val="1"/>
          <w:iCs w:val="1"/>
          <w:u w:val="single" w:color="auto"/>
          <w:color w:val="auto"/>
        </w:rPr>
        <w:t>LCA Test Date</w:t>
      </w:r>
      <w:r>
        <w:rPr>
          <w:rFonts w:ascii="Times New Roman" w:cs="Times New Roman" w:eastAsia="Times New Roman" w:hAnsi="Times New Roman"/>
          <w:sz w:val="18"/>
          <w:szCs w:val="18"/>
          <w:color w:val="auto"/>
        </w:rPr>
        <w:t xml:space="preserve">”), or (B) on the date on which such Limited Condition Acquisition is consummated, in either case, after giving effect to the relevant Limited Condition Acquisition and any related incurrence of Indebtedness, on a Pro Forma Basis;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notwithstanding the foregoing, in connection with any Limited Condition Acquisition: (1) the condition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“Permitted Acquisition” shall be satisfied if (x) no Event of Default shall have occurred and be continuing as of the applicable LCA Test Date, and (y) no Specified Event of Default shall have occurred and be continuing at the time of consummation of such Limited Condition Acquisition;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(2</w:t>
      </w:r>
      <w:r>
        <w:rPr>
          <w:rFonts w:ascii="Times New Roman" w:cs="Times New Roman" w:eastAsia="Times New Roman" w:hAnsi="Times New Roman"/>
          <w:sz w:val="18"/>
          <w:szCs w:val="18"/>
          <w:color w:val="FF0000"/>
          <w:strike w:val="1"/>
        </w:rPr>
        <w:t>) if the proceeds of an Incremental Term Loan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being used to finance such Limited Condition Acquisition, then (x) the conditions set forth in </w:t>
      </w:r>
      <w:r>
        <w:rPr>
          <w:rFonts w:ascii="Times New Roman" w:cs="Times New Roman" w:eastAsia="Times New Roman" w:hAnsi="Times New Roman"/>
          <w:sz w:val="18"/>
          <w:szCs w:val="18"/>
          <w:u w:val="single" w:color="auto"/>
          <w:color w:val="FF0000"/>
          <w:strike w:val="1"/>
        </w:rPr>
        <w:t>Section 2.16(a)(ii)</w:t>
      </w:r>
      <w:r>
        <w:rPr>
          <w:rFonts w:ascii="Times New Roman" w:cs="Times New Roman" w:eastAsia="Times New Roman" w:hAnsi="Times New Roman"/>
          <w:sz w:val="18"/>
          <w:szCs w:val="18"/>
          <w:color w:val="FF0000"/>
          <w:strike w:val="1"/>
        </w:rPr>
        <w:t xml:space="preserve"> and </w:t>
      </w:r>
      <w:r>
        <w:rPr>
          <w:rFonts w:ascii="Times New Roman" w:cs="Times New Roman" w:eastAsia="Times New Roman" w:hAnsi="Times New Roman"/>
          <w:sz w:val="18"/>
          <w:szCs w:val="18"/>
          <w:u w:val="single" w:color="auto"/>
          <w:color w:val="FF0000"/>
          <w:strike w:val="1"/>
        </w:rPr>
        <w:t>Section 4.02(a)</w:t>
      </w:r>
      <w:r>
        <w:rPr>
          <w:rFonts w:ascii="Times New Roman" w:cs="Times New Roman" w:eastAsia="Times New Roman" w:hAnsi="Times New Roman"/>
          <w:sz w:val="18"/>
          <w:szCs w:val="18"/>
          <w:color w:val="FF0000"/>
          <w:strike w:val="1"/>
        </w:rPr>
        <w:t xml:space="preserve"> shall be required to be satisfied at the time of closing of the Limited Condition Acquisition and funding of such Incremental Term Loan but, if the lenders providing such Incremental Term Loan so agree, the representations and warranties which must be accurate at the time of closing of the Limited Condition Acquisition and funding of such Incremental Term Loan may be limited to customary “specified representations” and such other representations and warranties as may be required by the lenders providing such Incremental Term Loan, and (y) the conditions set forth in </w:t>
      </w:r>
      <w:r>
        <w:rPr>
          <w:rFonts w:ascii="Times New Roman" w:cs="Times New Roman" w:eastAsia="Times New Roman" w:hAnsi="Times New Roman"/>
          <w:sz w:val="18"/>
          <w:szCs w:val="18"/>
          <w:u w:val="single" w:color="auto"/>
          <w:color w:val="FF0000"/>
          <w:strike w:val="1"/>
        </w:rPr>
        <w:t>Section 2.16(a)(ii)</w:t>
      </w:r>
      <w:r>
        <w:rPr>
          <w:rFonts w:ascii="Times New Roman" w:cs="Times New Roman" w:eastAsia="Times New Roman" w:hAnsi="Times New Roman"/>
          <w:sz w:val="18"/>
          <w:szCs w:val="18"/>
          <w:color w:val="FF0000"/>
          <w:strike w:val="1"/>
        </w:rPr>
        <w:t xml:space="preserve"> shall, if and to the extent the lenders providing such Incremental Term Loans so agree, be satisfied if (I) no Default shall have occurred and be continuing as of the applicable LCA Test Date, and (II) no Specified Event of Default shall have occurred and be continuing at the time of the funding of such Incremental Term Loans in connection with the consummation of such Limited Condition Acquisition; and (3</w:t>
      </w:r>
      <w:r>
        <w:rPr>
          <w:rFonts w:ascii="Times New Roman" w:cs="Times New Roman" w:eastAsia="Times New Roman" w:hAnsi="Times New Roman"/>
          <w:sz w:val="18"/>
          <w:szCs w:val="18"/>
          <w:color w:val="000000"/>
          <w:strike w:val="1"/>
        </w:rPr>
        <w:t>) such Limited Condition Acquisition and the related Indebtedness to be incurred in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connection therewith and the use of proceeds thereof shall be deemed incurred and/or applied at the LCA Test Date (until such time as the Indebtedness is actually incurred or the applicable definitive agreement is terminated without actually consummating the applicable Limited Condition Acquisition) and outstanding thereafter for purposes of determining compliance on a Pro Forma Basis with the financial covenants set forth in </w:t>
      </w:r>
      <w:r>
        <w:rPr>
          <w:rFonts w:ascii="Times New Roman" w:cs="Times New Roman" w:eastAsia="Times New Roman" w:hAnsi="Times New Roman"/>
          <w:sz w:val="18"/>
          <w:szCs w:val="18"/>
          <w:u w:val="single" w:color="auto"/>
          <w:color w:val="000000"/>
          <w:strike w:val="1"/>
        </w:rPr>
        <w:t>Section 7.11</w:t>
      </w:r>
      <w:r>
        <w:rPr>
          <w:rFonts w:ascii="Times New Roman" w:cs="Times New Roman" w:eastAsia="Times New Roman" w:hAnsi="Times New Roman"/>
          <w:sz w:val="18"/>
          <w:szCs w:val="18"/>
          <w:color w:val="000000"/>
          <w:strike w:val="1"/>
        </w:rPr>
        <w:t xml:space="preserve"> (other than for purposes of determining compliance in connection with the making of any Restricted Payment) with any financial ratio or test (including any Consolidated Leverage Ratio test or any Consolidated Fixed Charge Coverage Ratio test, or any calculation of the financial covenants set forth in </w:t>
      </w:r>
      <w:r>
        <w:rPr>
          <w:rFonts w:ascii="Times New Roman" w:cs="Times New Roman" w:eastAsia="Times New Roman" w:hAnsi="Times New Roman"/>
          <w:sz w:val="18"/>
          <w:szCs w:val="18"/>
          <w:u w:val="single" w:color="auto"/>
          <w:color w:val="000000"/>
          <w:strike w:val="1"/>
        </w:rPr>
        <w:t>Section 7.11</w:t>
      </w:r>
      <w:r>
        <w:rPr>
          <w:rFonts w:ascii="Times New Roman" w:cs="Times New Roman" w:eastAsia="Times New Roman" w:hAnsi="Times New Roman"/>
          <w:sz w:val="18"/>
          <w:szCs w:val="18"/>
          <w:color w:val="000000"/>
          <w:strike w:val="1"/>
        </w:rPr>
        <w:t xml:space="preserve">) (it being understood and agreed that for purposes of determining compliance on a Pro Forma Basis with the financial covenants set forth in </w:t>
      </w:r>
      <w:r>
        <w:rPr>
          <w:rFonts w:ascii="Times New Roman" w:cs="Times New Roman" w:eastAsia="Times New Roman" w:hAnsi="Times New Roman"/>
          <w:sz w:val="18"/>
          <w:szCs w:val="18"/>
          <w:u w:val="single" w:color="auto"/>
          <w:color w:val="000000"/>
          <w:strike w:val="1"/>
        </w:rPr>
        <w:t>Section 7.11</w:t>
      </w:r>
      <w:r>
        <w:rPr>
          <w:rFonts w:ascii="Times New Roman" w:cs="Times New Roman" w:eastAsia="Times New Roman" w:hAnsi="Times New Roman"/>
          <w:sz w:val="18"/>
          <w:szCs w:val="18"/>
          <w:color w:val="000000"/>
          <w:strike w:val="1"/>
        </w:rPr>
        <w:t xml:space="preserve"> in connection with the making of any Restricted Payment, the Borrower shall demonstrate compliance with the applicable test both after giving effect to the applicable Limited Condition Acquisition and assuming that such transaction had not occurred). For the avoidance of doubt, if any of such ratios or amounts for which compliance was determined or tested as of the LCA Test Date are thereafter exceeded or otherwise failed to have been complied with as a result of fluctuations in such ratio or amount (including due to fluctuations in Consolidated EBITDA), at or prior to the consummation of the relevant Limited Condition Acquisition, such ratios or amounts will not be deemed to have been exceeded or failed to be complied with as a result of such fluctuations solely for purposes of determining whether the relevant Limited Condition Acquisition is permitted to be consummated or taken. </w:t>
      </w:r>
      <w:r>
        <w:rPr>
          <w:rFonts w:ascii="Times New Roman" w:cs="Times New Roman" w:eastAsia="Times New Roman" w:hAnsi="Times New Roman"/>
          <w:sz w:val="18"/>
          <w:szCs w:val="18"/>
          <w:color w:val="FF0000"/>
          <w:strike w:val="1"/>
        </w:rPr>
        <w:t>Except as set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 xml:space="preserve">forth in </w:t>
      </w:r>
      <w:r>
        <w:rPr>
          <w:rFonts w:ascii="Times New Roman" w:cs="Times New Roman" w:eastAsia="Times New Roman" w:hAnsi="Times New Roman"/>
          <w:sz w:val="18"/>
          <w:szCs w:val="18"/>
          <w:u w:val="single" w:color="auto"/>
          <w:color w:val="FF0000"/>
          <w:strike w:val="1"/>
        </w:rPr>
        <w:t>clause (2)</w:t>
      </w:r>
      <w:r>
        <w:rPr>
          <w:rFonts w:ascii="Times New Roman" w:cs="Times New Roman" w:eastAsia="Times New Roman" w:hAnsi="Times New Roman"/>
          <w:sz w:val="18"/>
          <w:szCs w:val="18"/>
          <w:color w:val="FF0000"/>
          <w:strike w:val="1"/>
        </w:rPr>
        <w:t xml:space="preserve"> in the proviso to the first sentence in this </w:t>
      </w:r>
      <w:r>
        <w:rPr>
          <w:rFonts w:ascii="Times New Roman" w:cs="Times New Roman" w:eastAsia="Times New Roman" w:hAnsi="Times New Roman"/>
          <w:sz w:val="18"/>
          <w:szCs w:val="18"/>
          <w:u w:val="single" w:color="auto"/>
          <w:color w:val="FF0000"/>
          <w:strike w:val="1"/>
        </w:rPr>
        <w:t>Section 1.09</w:t>
      </w:r>
      <w:r>
        <w:rPr>
          <w:rFonts w:ascii="Times New Roman" w:cs="Times New Roman" w:eastAsia="Times New Roman" w:hAnsi="Times New Roman"/>
          <w:sz w:val="18"/>
          <w:szCs w:val="18"/>
          <w:color w:val="FF0000"/>
          <w:strike w:val="1"/>
        </w:rPr>
        <w:t xml:space="preserve"> in connection with the use of the proceeds of an Incremental Term Loan to finance a Limited Condition Acquisition (and, in the case of such </w:t>
      </w:r>
      <w:r>
        <w:rPr>
          <w:rFonts w:ascii="Times New Roman" w:cs="Times New Roman" w:eastAsia="Times New Roman" w:hAnsi="Times New Roman"/>
          <w:sz w:val="18"/>
          <w:szCs w:val="18"/>
          <w:u w:val="single" w:color="auto"/>
          <w:color w:val="FF0000"/>
          <w:strike w:val="1"/>
        </w:rPr>
        <w:t>clause (2)</w:t>
      </w:r>
      <w:r>
        <w:rPr>
          <w:rFonts w:ascii="Times New Roman" w:cs="Times New Roman" w:eastAsia="Times New Roman" w:hAnsi="Times New Roman"/>
          <w:sz w:val="18"/>
          <w:szCs w:val="18"/>
          <w:color w:val="FF0000"/>
          <w:strike w:val="1"/>
        </w:rPr>
        <w:t xml:space="preserve">, only if and to the extent the lenders providing such Incremental Term Loan so agree as provided in such </w:t>
      </w:r>
      <w:r>
        <w:rPr>
          <w:rFonts w:ascii="Times New Roman" w:cs="Times New Roman" w:eastAsia="Times New Roman" w:hAnsi="Times New Roman"/>
          <w:sz w:val="18"/>
          <w:szCs w:val="18"/>
          <w:u w:val="single" w:color="auto"/>
          <w:color w:val="FF0000"/>
          <w:strike w:val="1"/>
        </w:rPr>
        <w:t>clause (2)</w:t>
      </w:r>
      <w:r>
        <w:rPr>
          <w:rFonts w:ascii="Times New Roman" w:cs="Times New Roman" w:eastAsia="Times New Roman" w:hAnsi="Times New Roman"/>
          <w:sz w:val="18"/>
          <w:szCs w:val="18"/>
          <w:color w:val="FF0000"/>
          <w:strike w:val="1"/>
        </w:rPr>
        <w:t>), it</w:t>
      </w:r>
      <w:r>
        <w:rPr>
          <w:rFonts w:ascii="Times New Roman" w:cs="Times New Roman" w:eastAsia="Times New Roman" w:hAnsi="Times New Roman"/>
          <w:sz w:val="18"/>
          <w:szCs w:val="18"/>
          <w:u w:val="single" w:color="auto"/>
          <w:color w:val="0000FF"/>
          <w:strike w:val="1"/>
        </w:rPr>
        <w:t>It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is understood and agreed that this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00"/>
          <w:strike w:val="1"/>
        </w:rPr>
        <w:t>Section 1.09</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shall not limit the conditions set forth in</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00"/>
          <w:strike w:val="1"/>
        </w:rPr>
        <w:t>Section 4.02</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with respect to any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proposed Credit Extension, in connection with a Limited Condition Acquisition or otherwise.</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u w:val="single" w:color="auto"/>
          <w:color w:val="auto"/>
        </w:rPr>
        <w:t>COMMITMENTS AND CREDIT EXTENSIONS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2.01.</w:t>
      </w:r>
      <w:r>
        <w:rPr>
          <w:sz w:val="20"/>
          <w:szCs w:val="20"/>
          <w:color w:val="auto"/>
        </w:rPr>
        <w:tab/>
      </w:r>
      <w:r>
        <w:rPr>
          <w:rFonts w:ascii="Times New Roman" w:cs="Times New Roman" w:eastAsia="Times New Roman" w:hAnsi="Times New Roman"/>
          <w:sz w:val="17"/>
          <w:szCs w:val="17"/>
          <w:color w:val="auto"/>
        </w:rPr>
        <w:t>Loans.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 Borrowing</w:t>
      </w:r>
      <w:r>
        <w:rPr>
          <w:rFonts w:ascii="Times New Roman" w:cs="Times New Roman" w:eastAsia="Times New Roman" w:hAnsi="Times New Roman"/>
          <w:sz w:val="18"/>
          <w:szCs w:val="18"/>
          <w:color w:val="auto"/>
        </w:rPr>
        <w:t xml:space="preserve">. Subject to the terms and conditions set forth herein, each Term Lender severally agrees to make a single loan to the Borrower, in Dollars, on the Closing Date in an amount not to exceed such Term Lender’s Applicable Percentage of the Term Facility. The Term Borrowing shall consist of Term Loans made simultaneously by the Term Lenders in accordance with their respective Applicable Percentage of the Term Facility. Term Borrowings repaid or prepaid may not be reborrowed. Term Loans may be Base Rate Loans or Term SOFR Loans, as further provided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any Term Borrowing made on the Closing Date or any of the three (3) Business Days following the Closing Date shall be made as Base Rate Loans unless the Borrower delivers a Funding Indemnity Letter not less than three (3) Business Days prior to the date of such Term Borrowing.</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Revolving Borrowings</w:t>
      </w:r>
      <w:r>
        <w:rPr>
          <w:rFonts w:ascii="Times New Roman" w:cs="Times New Roman" w:eastAsia="Times New Roman" w:hAnsi="Times New Roman"/>
          <w:sz w:val="18"/>
          <w:szCs w:val="18"/>
          <w:color w:val="auto"/>
        </w:rPr>
        <w:t>. Subject to the terms and conditions set forth herein, each Revolving Lender severally agrees to make loans (each such loan, a “</w:t>
      </w:r>
      <w:r>
        <w:rPr>
          <w:rFonts w:ascii="Times New Roman" w:cs="Times New Roman" w:eastAsia="Times New Roman" w:hAnsi="Times New Roman"/>
          <w:sz w:val="18"/>
          <w:szCs w:val="18"/>
          <w:i w:val="1"/>
          <w:iCs w:val="1"/>
          <w:u w:val="single" w:color="auto"/>
          <w:color w:val="auto"/>
        </w:rPr>
        <w:t>Revolving Loan</w:t>
      </w:r>
      <w:r>
        <w:rPr>
          <w:rFonts w:ascii="Times New Roman" w:cs="Times New Roman" w:eastAsia="Times New Roman" w:hAnsi="Times New Roman"/>
          <w:sz w:val="18"/>
          <w:szCs w:val="18"/>
          <w:color w:val="auto"/>
        </w:rPr>
        <w:t xml:space="preserve">”) to the Borrower, in Dollars, from time to time, on any Business Day during the Availability Period, in an aggregate amount not to exceed at any time outstanding the amount of such Lender’s Revolving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after giving effect to any Revolving Borrowing, (i) the Total Revolving Outstandings shall not exceed the Revolving Facility, and (ii) the Revolving Exposure of any Lender shall not exceed such Revolving Lender’s Revolving Commitment. Within the limits of each Revolving Lender’s Revolving Commitment, and subject to the other terms and conditions hereof, the Borrower may borrow Revolving Loans,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Revolving Loans may be Base Rate Loans or Term SOFR Loans, as further provided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any Revolving Borrowings made on the Closing Date or any of the three (3) Business Days following the Closing Date shall be made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Rate Loans unless the Borrower delivers a Funding Indemnity Letter not less than three (3) Business Days prior to the date of such Revolving Borrowing.</w:t>
      </w:r>
    </w:p>
    <w:p>
      <w:pPr>
        <w:spacing w:after="0" w:line="200" w:lineRule="exact"/>
        <w:rPr>
          <w:sz w:val="20"/>
          <w:szCs w:val="20"/>
          <w:color w:val="auto"/>
        </w:rPr>
      </w:pPr>
    </w:p>
    <w:p>
      <w:pPr>
        <w:spacing w:after="0" w:line="2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71" w:name="page72"/>
    <w:bookmarkEnd w:id="71"/>
    <w:p>
      <w:pPr>
        <w:ind w:left="4"/>
        <w:spacing w:after="0"/>
        <w:tabs>
          <w:tab w:leader="none" w:pos="484" w:val="left"/>
        </w:tabs>
        <w:rPr>
          <w:sz w:val="20"/>
          <w:szCs w:val="20"/>
          <w:color w:val="auto"/>
        </w:rPr>
      </w:pPr>
      <w:r>
        <w:rPr>
          <w:rFonts w:ascii="Times New Roman" w:cs="Times New Roman" w:eastAsia="Times New Roman" w:hAnsi="Times New Roman"/>
          <w:sz w:val="18"/>
          <w:szCs w:val="18"/>
          <w:b w:val="1"/>
          <w:bCs w:val="1"/>
          <w:color w:val="auto"/>
        </w:rPr>
        <w:t>2.02.</w:t>
      </w:r>
      <w:r>
        <w:rPr>
          <w:sz w:val="20"/>
          <w:szCs w:val="20"/>
          <w:color w:val="auto"/>
        </w:rPr>
        <w:tab/>
      </w:r>
      <w:r>
        <w:rPr>
          <w:rFonts w:ascii="Times New Roman" w:cs="Times New Roman" w:eastAsia="Times New Roman" w:hAnsi="Times New Roman"/>
          <w:sz w:val="18"/>
          <w:szCs w:val="18"/>
          <w:color w:val="auto"/>
        </w:rPr>
        <w:t>Borrowings, Conversions and Continuations of Loans.</w:t>
      </w:r>
    </w:p>
    <w:p>
      <w:pPr>
        <w:spacing w:after="0" w:line="229" w:lineRule="exact"/>
        <w:rPr>
          <w:sz w:val="20"/>
          <w:szCs w:val="20"/>
          <w:color w:val="auto"/>
        </w:rPr>
      </w:pPr>
    </w:p>
    <w:p>
      <w:pPr>
        <w:jc w:val="both"/>
        <w:ind w:left="4" w:firstLine="648"/>
        <w:spacing w:after="0" w:line="26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Notice of Borrowing</w:t>
      </w:r>
      <w:r>
        <w:rPr>
          <w:rFonts w:ascii="Times New Roman" w:cs="Times New Roman" w:eastAsia="Times New Roman" w:hAnsi="Times New Roman"/>
          <w:sz w:val="17"/>
          <w:szCs w:val="17"/>
          <w:color w:val="auto"/>
        </w:rPr>
        <w:t xml:space="preserve">. Each Borrowing, each conversion of Loans from one Type to the other, and each continuation of Term SOFR Loans shall be made upon the Borrower’s irrevocable notice to the Administrative Agent, which may be given by (i) telephone or (ii) a Loan Notice;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xml:space="preserve">, that any telephonic notice must be confirmed immediately by delivery to the Administrative Agent of a Loan Notice. Each such Loan Notice must be received by the Administrative Agent not later than 11:00 a.m. (A) two </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auto"/>
        </w:rPr>
        <w:t xml:space="preserve"> Business Days prior to the requested date of any Borrowing of, conversion to or continuation of Term SOFR Loans or of any conversion of Term SOFR Loans to Base Rate Loans, and</w:t>
      </w:r>
    </w:p>
    <w:p>
      <w:pPr>
        <w:spacing w:after="0" w:line="3" w:lineRule="exact"/>
        <w:rPr>
          <w:sz w:val="20"/>
          <w:szCs w:val="20"/>
          <w:color w:val="auto"/>
        </w:rPr>
      </w:pPr>
    </w:p>
    <w:p>
      <w:pPr>
        <w:jc w:val="both"/>
        <w:ind w:left="4" w:hanging="4"/>
        <w:spacing w:after="0" w:line="250" w:lineRule="auto"/>
        <w:tabs>
          <w:tab w:leader="none" w:pos="2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on</w:t>
      </w:r>
      <w:r>
        <w:rPr>
          <w:rFonts w:ascii="Times New Roman" w:cs="Times New Roman" w:eastAsia="Times New Roman" w:hAnsi="Times New Roman"/>
          <w:sz w:val="18"/>
          <w:szCs w:val="18"/>
          <w:u w:val="single" w:color="auto"/>
          <w:color w:val="0000FF"/>
        </w:rPr>
        <w:t>one (1) Business Day prior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requested date of any Borrowing of Base Rate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u w:val="single" w:color="auto"/>
          <w:color w:val="000000"/>
        </w:rPr>
        <w:t>however</w:t>
      </w:r>
      <w:r>
        <w:rPr>
          <w:rFonts w:ascii="Times New Roman" w:cs="Times New Roman" w:eastAsia="Times New Roman" w:hAnsi="Times New Roman"/>
          <w:sz w:val="18"/>
          <w:szCs w:val="18"/>
          <w:color w:val="000000"/>
        </w:rPr>
        <w:t>, that if the Borrower wishes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request Term SOFR Loans having an Interest Period other than one (1), three (3) or six (6) months in duration as provided in the definition of “Interest Period,” the applicable notice must be received by the Administrative Agent not later than 11:00 a.m. four (4) Business Days prior to the requested date of such Borrowing, conversion or continuation, whereupon the Administrative Agent shall give prompt notice to the Appropriate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and the Administrative Agent. Each Borrowing of, conversion to or continuation of Term SOFR Loans shall be in a principal amount of $1,000,000 or a whole multiple of $100,000 in excess thereof. Except as provided in </w:t>
      </w:r>
      <w:r>
        <w:rPr>
          <w:rFonts w:ascii="Times New Roman" w:cs="Times New Roman" w:eastAsia="Times New Roman" w:hAnsi="Times New Roman"/>
          <w:sz w:val="18"/>
          <w:szCs w:val="18"/>
          <w:color w:val="FF0000"/>
          <w:strike w:val="1"/>
        </w:rPr>
        <w:t>Sections</w:t>
      </w:r>
      <w:r>
        <w:rPr>
          <w:rFonts w:ascii="Times New Roman" w:cs="Times New Roman" w:eastAsia="Times New Roman" w:hAnsi="Times New Roman"/>
          <w:sz w:val="18"/>
          <w:szCs w:val="18"/>
          <w:u w:val="single" w:color="auto"/>
          <w:color w:val="0000FF"/>
        </w:rPr>
        <w:t>Section</w:t>
      </w:r>
      <w:r>
        <w:rPr>
          <w:rFonts w:ascii="Times New Roman" w:cs="Times New Roman" w:eastAsia="Times New Roman" w:hAnsi="Times New Roman"/>
          <w:sz w:val="18"/>
          <w:szCs w:val="18"/>
          <w:color w:val="000000"/>
        </w:rPr>
        <w:t xml:space="preserve"> 2.03(f)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FF0000"/>
        </w:rPr>
        <w:t>2.04(c)</w:t>
      </w:r>
      <w:r>
        <w:rPr>
          <w:rFonts w:ascii="Times New Roman" w:cs="Times New Roman" w:eastAsia="Times New Roman" w:hAnsi="Times New Roman"/>
          <w:sz w:val="18"/>
          <w:szCs w:val="18"/>
          <w:color w:val="000000"/>
        </w:rPr>
        <w:t>, each Borrowing of or conversion to Base Rate Loans shall be in a principal amount of $1,000,000 or a whole multiple of $100,000 in excess thereof. Each Loan Notice and each telephonic notice shall specify</w:t>
      </w:r>
    </w:p>
    <w:p>
      <w:pPr>
        <w:spacing w:after="0" w:line="3"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whether the Borrower is requesting a Borrowing, a conversion of Loans from one Type to the other, or a continuation of Term SOFR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month. </w:t>
      </w:r>
      <w:r>
        <w:rPr>
          <w:rFonts w:ascii="Times New Roman" w:cs="Times New Roman" w:eastAsia="Times New Roman" w:hAnsi="Times New Roman"/>
          <w:sz w:val="18"/>
          <w:szCs w:val="18"/>
          <w:color w:val="FF0000"/>
          <w:strike w:val="1"/>
        </w:rPr>
        <w:t>Notwithstanding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anything to the contrary herein, a Swingline Loan may not be converted to a Term SOFR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-1450975</wp:posOffset>
            </wp:positionV>
            <wp:extent cx="5746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173"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Advances</w:t>
      </w:r>
      <w:r>
        <w:rPr>
          <w:rFonts w:ascii="Times New Roman" w:cs="Times New Roman" w:eastAsia="Times New Roman" w:hAnsi="Times New Roman"/>
          <w:sz w:val="18"/>
          <w:szCs w:val="18"/>
          <w:color w:val="auto"/>
        </w:rPr>
        <w:t xml:space="preserve">. Following receipt of a Loan Notice for a Facility, the Administrative Agent shall promptly notify each Appropriate Lender of the amount of its Applicable Percentage under such Facility of the applicable Loans, and if no timely notice of a conversion or continuation is provided by the Borrower, the Administrative Agent shall notify each Appropriate Lender of the details of any automatic conversion to Base Rate Loans described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In the case of a Borrowing, each Appropriate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if such Borrowing is the initial Credit Extension,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on the date a Loan Notice with respect to a Revolving Borrowing is given by the Borrower, there are L/C Borrowings outstanding, then the proceeds of such Revolving Borrowing, first, shall be applied to the payment in full of any such L/C Borrowings, and second, shall be made available to the Borrower as provided above.</w:t>
      </w:r>
    </w:p>
    <w:p>
      <w:pPr>
        <w:spacing w:after="0" w:line="200" w:lineRule="exact"/>
        <w:rPr>
          <w:sz w:val="20"/>
          <w:szCs w:val="20"/>
          <w:color w:val="auto"/>
        </w:rPr>
      </w:pPr>
    </w:p>
    <w:p>
      <w:pPr>
        <w:spacing w:after="0" w:line="20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72" w:name="page73"/>
    <w:bookmarkEnd w:id="7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SOFR Loans</w:t>
      </w:r>
      <w:r>
        <w:rPr>
          <w:rFonts w:ascii="Times New Roman" w:cs="Times New Roman" w:eastAsia="Times New Roman" w:hAnsi="Times New Roman"/>
          <w:sz w:val="18"/>
          <w:szCs w:val="18"/>
          <w:color w:val="auto"/>
        </w:rPr>
        <w:t>. 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Interest Rates</w:t>
      </w:r>
      <w:r>
        <w:rPr>
          <w:rFonts w:ascii="Times New Roman" w:cs="Times New Roman" w:eastAsia="Times New Roman" w:hAnsi="Times New Roman"/>
          <w:sz w:val="18"/>
          <w:szCs w:val="18"/>
          <w:color w:val="auto"/>
        </w:rPr>
        <w:t>. Each determination of an interest rate by the Administrative Agent pursuant to any provision of this Agreement shall be conclusive and binding on the Borrower and the Lenders in the absence of manifest error.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Interest Periods</w:t>
      </w:r>
      <w:r>
        <w:rPr>
          <w:rFonts w:ascii="Times New Roman" w:cs="Times New Roman" w:eastAsia="Times New Roman" w:hAnsi="Times New Roman"/>
          <w:sz w:val="18"/>
          <w:szCs w:val="18"/>
          <w:color w:val="auto"/>
        </w:rPr>
        <w:t>. After giving effect to all Term Borrowings, all conversions of Term Loans from one Type to the other, and all continuations of Term Loans as the same Type, there shall not be more than ten (10) Interest Periods in effect in respect of the Term Facility. After giving effect to all Revolving Borrowings, all conversions of Revolving Loans from one Type to the other, and all continuations of Revolving Loans as the same Type, there shall not be more than ten (10) Interest Periods in effect in respect of the Revolving Facility.</w:t>
      </w:r>
    </w:p>
    <w:p>
      <w:pPr>
        <w:spacing w:after="0" w:line="18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u w:val="single" w:color="auto"/>
          <w:color w:val="auto"/>
        </w:rPr>
        <w:t>  Cashless Settlement Mechanism</w:t>
      </w:r>
      <w:r>
        <w:rPr>
          <w:rFonts w:ascii="Times New Roman" w:cs="Times New Roman" w:eastAsia="Times New Roman" w:hAnsi="Times New Roman"/>
          <w:sz w:val="17"/>
          <w:szCs w:val="17"/>
          <w:color w:val="auto"/>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Conforming Changes</w:t>
      </w:r>
      <w:r>
        <w:rPr>
          <w:rFonts w:ascii="Times New Roman" w:cs="Times New Roman" w:eastAsia="Times New Roman" w:hAnsi="Times New Roman"/>
          <w:sz w:val="18"/>
          <w:szCs w:val="18"/>
          <w:color w:val="auto"/>
        </w:rPr>
        <w:t xml:space="preserve">.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2.03.</w:t>
      </w:r>
      <w:r>
        <w:rPr>
          <w:sz w:val="20"/>
          <w:szCs w:val="20"/>
          <w:color w:val="auto"/>
        </w:rPr>
        <w:tab/>
      </w:r>
      <w:r>
        <w:rPr>
          <w:rFonts w:ascii="Times New Roman" w:cs="Times New Roman" w:eastAsia="Times New Roman" w:hAnsi="Times New Roman"/>
          <w:sz w:val="18"/>
          <w:szCs w:val="18"/>
          <w:color w:val="auto"/>
        </w:rPr>
        <w:t>Letters of Credit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The Letter of Credit Commitment</w:t>
      </w:r>
      <w:r>
        <w:rPr>
          <w:rFonts w:ascii="Times New Roman" w:cs="Times New Roman" w:eastAsia="Times New Roman" w:hAnsi="Times New Roman"/>
          <w:sz w:val="18"/>
          <w:szCs w:val="18"/>
          <w:color w:val="auto"/>
        </w:rPr>
        <w:t xml:space="preserve">. Subject to the terms and conditions set forth herein, in addition to the Loans provided for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the Borrower may request that the L/C Issuer, in reliance on the agreements of the Revolving Lenders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issue, at any time and from time to time during the Availability Period, Letters of Credit denominated in Dollars for its own account or the account of any of its Restricted Subsidiaries in such form as is acceptable to the Administrative Agent and the L/C Issuer in its reasonable determination. Letters of Credit issued hereunder shall constitute utilization of the Revolving Commitments.</w:t>
      </w:r>
    </w:p>
    <w:p>
      <w:pPr>
        <w:spacing w:after="0" w:line="183" w:lineRule="exact"/>
        <w:rPr>
          <w:sz w:val="20"/>
          <w:szCs w:val="20"/>
          <w:color w:val="auto"/>
        </w:rPr>
      </w:pPr>
    </w:p>
    <w:p>
      <w:pPr>
        <w:ind w:left="900" w:hanging="25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Notice of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Reinstatement or Renewal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11:00 a.m. at least two (2)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 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 L/C Issuer relating to any Letter of Credit, the terms and conditions of this Agreement shall control.</w:t>
      </w:r>
    </w:p>
    <w:p>
      <w:pPr>
        <w:spacing w:after="0" w:line="200" w:lineRule="exact"/>
        <w:rPr>
          <w:sz w:val="20"/>
          <w:szCs w:val="20"/>
          <w:color w:val="auto"/>
        </w:rPr>
      </w:pP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3" w:name="page74"/>
    <w:bookmarkEnd w:id="73"/>
    <w:p>
      <w:pPr>
        <w:jc w:val="both"/>
        <w:ind w:left="640" w:firstLine="648"/>
        <w:spacing w:after="0" w:line="252" w:lineRule="auto"/>
        <w:rPr>
          <w:sz w:val="20"/>
          <w:szCs w:val="20"/>
          <w:color w:val="auto"/>
        </w:rPr>
      </w:pPr>
      <w:r>
        <w:rPr>
          <w:rFonts w:ascii="Times New Roman" w:cs="Times New Roman" w:eastAsia="Times New Roman" w:hAnsi="Times New Roman"/>
          <w:sz w:val="18"/>
          <w:szCs w:val="18"/>
          <w:color w:val="auto"/>
        </w:rPr>
        <w:t>(ii)            If the Borrower so requests in any applicable Letter of Credit Application (or an application for the amendment of an outstanding Letter of Credit), any L/C Issuer may, in its sole discretion, agree to issue a Letter of Credit that has automatic extension provisions (each, an “</w:t>
      </w:r>
      <w:r>
        <w:rPr>
          <w:rFonts w:ascii="Times New Roman" w:cs="Times New Roman" w:eastAsia="Times New Roman" w:hAnsi="Times New Roman"/>
          <w:sz w:val="18"/>
          <w:szCs w:val="18"/>
          <w:i w:val="1"/>
          <w:iCs w:val="1"/>
          <w:u w:val="single" w:color="auto"/>
          <w:color w:val="auto"/>
        </w:rPr>
        <w:t>Auto</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any such Auto-Extension Letter of Credit shall permit such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i w:val="1"/>
          <w:iCs w:val="1"/>
          <w:u w:val="single" w:color="auto"/>
          <w:color w:val="auto"/>
        </w:rPr>
        <w:t>Non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u w:val="single" w:color="auto"/>
          <w:color w:val="auto"/>
        </w:rPr>
        <w:t>Extension Notice Date</w:t>
      </w:r>
      <w:r>
        <w:rPr>
          <w:rFonts w:ascii="Times New Roman" w:cs="Times New Roman" w:eastAsia="Times New Roman" w:hAnsi="Times New Roman"/>
          <w:sz w:val="18"/>
          <w:szCs w:val="18"/>
          <w:color w:val="auto"/>
        </w:rPr>
        <w:t xml:space="preserve">”) in each such twelve-month period to be agreed upon by the Borrower and such L/C Issuer at the time such Letter of Credit is issued. Unless otherwise directed by such L/C Issuer, the Borrower shall not be required to make a specific request to such L/C Issuer for any such extension. Once an Auto-Extension Letter of Credit has been issued, the Revolving Lenders shall be deemed to have authorized (but may not require) the applicable L/C Issuer to permit the extension of such Letter of Credit at any time to an expiration date not later than the date permitted pursuant to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the applicable L/C Issuer shall not (A) permit any such extension if such L/C Issuer has determined that it would not be permitted, or would have no obligation, at such time to issue such Letter of Credit in its extended form under the terms hereof (except that the expiration date may be extended to a date that is no more than one (1) year from the then-current expiration date) or (B) be obligated to permit such extension if it has received notice (which may be in writing or by telephone (if promptly confirmed in writing)) on or before the day that is seven (7) Business Days before the Non-Extension Notice Date from the Administrative Agent, any Revolving Lender or the Borrower that one or more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and in each such case directing the L/C Issuer not to permit such extension.</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Limitations on Amounts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Issuance and Amendment</w:t>
      </w:r>
      <w:r>
        <w:rPr>
          <w:rFonts w:ascii="Times New Roman" w:cs="Times New Roman" w:eastAsia="Times New Roman" w:hAnsi="Times New Roman"/>
          <w:sz w:val="18"/>
          <w:szCs w:val="18"/>
          <w:color w:val="auto"/>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(w) the aggregate amount of the outstanding Letters of Credit issued by the L/C Issuer shall not exceed its L/C Commitment, (x) the aggregate L/C Obligations shall not exceed the Letter of Credit Sublimit, (y) the Revolving Exposure of any Lender shall not exceed its Revolving Commitment and (z) the Total Revolving Exposure shall not exceed the total Revolving Commitments.</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4" w:name="page75"/>
    <w:bookmarkEnd w:id="74"/>
    <w:p>
      <w:pPr>
        <w:ind w:left="1304"/>
        <w:spacing w:after="0"/>
        <w:rPr>
          <w:sz w:val="20"/>
          <w:szCs w:val="20"/>
          <w:color w:val="auto"/>
        </w:rPr>
      </w:pPr>
      <w:r>
        <w:rPr>
          <w:rFonts w:ascii="Times New Roman" w:cs="Times New Roman" w:eastAsia="Times New Roman" w:hAnsi="Times New Roman"/>
          <w:sz w:val="18"/>
          <w:szCs w:val="18"/>
          <w:color w:val="auto"/>
        </w:rPr>
        <w:t>(i)            The L/C Issuer shall not be under any obligation to issue any Letter of Credit if:</w:t>
      </w:r>
    </w:p>
    <w:p>
      <w:pPr>
        <w:spacing w:after="0" w:line="225" w:lineRule="exact"/>
        <w:rPr>
          <w:sz w:val="20"/>
          <w:szCs w:val="20"/>
          <w:color w:val="auto"/>
        </w:rPr>
      </w:pPr>
    </w:p>
    <w:p>
      <w:pPr>
        <w:jc w:val="both"/>
        <w:ind w:left="1304" w:firstLine="648"/>
        <w:spacing w:after="0" w:line="254" w:lineRule="auto"/>
        <w:rPr>
          <w:sz w:val="20"/>
          <w:szCs w:val="20"/>
          <w:color w:val="auto"/>
        </w:rPr>
      </w:pPr>
      <w:r>
        <w:rPr>
          <w:rFonts w:ascii="Times New Roman" w:cs="Times New Roman" w:eastAsia="Times New Roman" w:hAnsi="Times New Roman"/>
          <w:sz w:val="18"/>
          <w:szCs w:val="18"/>
          <w:color w:val="auto"/>
        </w:rPr>
        <w:t>(A)            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92" w:lineRule="exact"/>
        <w:rPr>
          <w:sz w:val="20"/>
          <w:szCs w:val="20"/>
          <w:color w:val="auto"/>
        </w:rPr>
      </w:pPr>
    </w:p>
    <w:p>
      <w:pPr>
        <w:jc w:val="both"/>
        <w:ind w:left="1304" w:right="20" w:firstLine="648"/>
        <w:spacing w:after="0" w:line="282" w:lineRule="auto"/>
        <w:rPr>
          <w:sz w:val="20"/>
          <w:szCs w:val="20"/>
          <w:color w:val="auto"/>
        </w:rPr>
      </w:pPr>
      <w:r>
        <w:rPr>
          <w:rFonts w:ascii="Times New Roman" w:cs="Times New Roman" w:eastAsia="Times New Roman" w:hAnsi="Times New Roman"/>
          <w:sz w:val="18"/>
          <w:szCs w:val="18"/>
          <w:color w:val="auto"/>
        </w:rPr>
        <w:t>(B)            the issuance of such Letter of Credit would violate one or more policies of the L/C Issuer applicable to letters of credit generally;</w:t>
      </w:r>
    </w:p>
    <w:p>
      <w:pPr>
        <w:spacing w:after="0" w:line="162" w:lineRule="exact"/>
        <w:rPr>
          <w:sz w:val="20"/>
          <w:szCs w:val="20"/>
          <w:color w:val="auto"/>
        </w:rPr>
      </w:pPr>
    </w:p>
    <w:p>
      <w:pPr>
        <w:jc w:val="both"/>
        <w:ind w:left="1304" w:firstLine="648"/>
        <w:spacing w:after="0" w:line="282" w:lineRule="auto"/>
        <w:rPr>
          <w:sz w:val="20"/>
          <w:szCs w:val="20"/>
          <w:color w:val="auto"/>
        </w:rPr>
      </w:pPr>
      <w:r>
        <w:rPr>
          <w:rFonts w:ascii="Times New Roman" w:cs="Times New Roman" w:eastAsia="Times New Roman" w:hAnsi="Times New Roman"/>
          <w:sz w:val="18"/>
          <w:szCs w:val="18"/>
          <w:color w:val="auto"/>
        </w:rPr>
        <w:t>(C)            except as otherwise agreed by the Administrative Agent and the L/C Issuer, the Letter of Credit is in an initial stated amount less than $100,000;</w:t>
      </w:r>
    </w:p>
    <w:p>
      <w:pPr>
        <w:spacing w:after="0" w:line="162" w:lineRule="exact"/>
        <w:rPr>
          <w:sz w:val="20"/>
          <w:szCs w:val="20"/>
          <w:color w:val="auto"/>
        </w:rPr>
      </w:pPr>
    </w:p>
    <w:p>
      <w:pPr>
        <w:jc w:val="both"/>
        <w:ind w:left="1304" w:firstLine="648"/>
        <w:spacing w:after="0" w:line="277" w:lineRule="auto"/>
        <w:rPr>
          <w:sz w:val="20"/>
          <w:szCs w:val="20"/>
          <w:color w:val="auto"/>
        </w:rPr>
      </w:pPr>
      <w:r>
        <w:rPr>
          <w:rFonts w:ascii="Times New Roman" w:cs="Times New Roman" w:eastAsia="Times New Roman" w:hAnsi="Times New Roman"/>
          <w:sz w:val="17"/>
          <w:szCs w:val="17"/>
          <w:color w:val="auto"/>
        </w:rPr>
        <w:t xml:space="preserve">(D)            any Revolving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Times New Roman" w:cs="Times New Roman" w:eastAsia="Times New Roman" w:hAnsi="Times New Roman"/>
          <w:sz w:val="17"/>
          <w:szCs w:val="17"/>
          <w:u w:val="single" w:color="auto"/>
          <w:color w:val="auto"/>
        </w:rPr>
        <w:t>Section 2.15(a)(iv</w:t>
      </w:r>
      <w:r>
        <w:rPr>
          <w:rFonts w:ascii="Times New Roman" w:cs="Times New Roman" w:eastAsia="Times New Roman" w:hAnsi="Times New Roman"/>
          <w:sz w:val="17"/>
          <w:szCs w:val="17"/>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68" w:lineRule="exact"/>
        <w:rPr>
          <w:sz w:val="20"/>
          <w:szCs w:val="20"/>
          <w:color w:val="auto"/>
        </w:rPr>
      </w:pPr>
    </w:p>
    <w:p>
      <w:pPr>
        <w:jc w:val="both"/>
        <w:ind w:left="644" w:firstLine="648"/>
        <w:spacing w:after="0" w:line="266" w:lineRule="auto"/>
        <w:rPr>
          <w:sz w:val="20"/>
          <w:szCs w:val="20"/>
          <w:color w:val="auto"/>
        </w:rPr>
      </w:pPr>
      <w:r>
        <w:rPr>
          <w:rFonts w:ascii="Times New Roman" w:cs="Times New Roman" w:eastAsia="Times New Roman" w:hAnsi="Times New Roman"/>
          <w:sz w:val="18"/>
          <w:szCs w:val="18"/>
          <w:color w:val="auto"/>
        </w:rPr>
        <w:t>(ii)            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76"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Expiration Date</w:t>
      </w:r>
      <w:r>
        <w:rPr>
          <w:rFonts w:ascii="Times New Roman" w:cs="Times New Roman" w:eastAsia="Times New Roman" w:hAnsi="Times New Roman"/>
          <w:sz w:val="18"/>
          <w:szCs w:val="18"/>
          <w:color w:val="auto"/>
        </w:rPr>
        <w:t>. Each Letter of Credit shall have a stated expiration date no later than (x) with respect to Letters of Credit other than Extended Letters of Credit, the earlier of (i) the date twelve (12) months after the date of the issuance of such Letter of Credit (or, in the case of any extension of the expiration date thereof, whether automatic or by amendment, twelve months after the then-current expiration date of such Letter of Credit) and (ii) the date that is five  (5) Business Days prior to the Maturity Date (such date, the “</w:t>
      </w:r>
      <w:r>
        <w:rPr>
          <w:rFonts w:ascii="Times New Roman" w:cs="Times New Roman" w:eastAsia="Times New Roman" w:hAnsi="Times New Roman"/>
          <w:sz w:val="18"/>
          <w:szCs w:val="18"/>
          <w:i w:val="1"/>
          <w:iCs w:val="1"/>
          <w:u w:val="single" w:color="auto"/>
          <w:color w:val="auto"/>
        </w:rPr>
        <w:t>Letter of Credit Expiration Date</w:t>
      </w:r>
      <w:r>
        <w:rPr>
          <w:rFonts w:ascii="Times New Roman" w:cs="Times New Roman" w:eastAsia="Times New Roman" w:hAnsi="Times New Roman"/>
          <w:sz w:val="18"/>
          <w:szCs w:val="18"/>
          <w:color w:val="auto"/>
        </w:rPr>
        <w:t>”) and</w:t>
      </w:r>
    </w:p>
    <w:p>
      <w:pPr>
        <w:spacing w:after="0" w:line="3" w:lineRule="exact"/>
        <w:rPr>
          <w:sz w:val="20"/>
          <w:szCs w:val="20"/>
          <w:color w:val="auto"/>
        </w:rPr>
      </w:pPr>
    </w:p>
    <w:p>
      <w:pPr>
        <w:ind w:left="4" w:hanging="4"/>
        <w:spacing w:after="0" w:line="260" w:lineRule="auto"/>
        <w:tabs>
          <w:tab w:leader="none" w:pos="2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Extended Letter of Credit, the date which is one year after the Maturity Date so long as the Borrower shall have complied with </w:t>
      </w:r>
      <w:r>
        <w:rPr>
          <w:rFonts w:ascii="Times New Roman" w:cs="Times New Roman" w:eastAsia="Times New Roman" w:hAnsi="Times New Roman"/>
          <w:sz w:val="18"/>
          <w:szCs w:val="18"/>
          <w:u w:val="single" w:color="auto"/>
          <w:color w:val="auto"/>
        </w:rPr>
        <w:t>Section 2.03(q)</w:t>
      </w:r>
      <w:r>
        <w:rPr>
          <w:rFonts w:ascii="Times New Roman" w:cs="Times New Roman" w:eastAsia="Times New Roman" w:hAnsi="Times New Roman"/>
          <w:sz w:val="18"/>
          <w:szCs w:val="18"/>
          <w:color w:val="auto"/>
        </w:rPr>
        <w:t xml:space="preserve"> with respect to such Extended Letter of Credit.</w:t>
      </w:r>
    </w:p>
    <w:p>
      <w:pPr>
        <w:spacing w:after="0" w:line="39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5" w:name="page76"/>
    <w:bookmarkEnd w:id="75"/>
    <w:p>
      <w:pPr>
        <w:ind w:left="18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            By the issuance of a Letter of Credit (or an amendment to a Letter of Credit increasing the amount or extending the expiration date thereof), and without any further action on the part of the L/C Issuer or the Lenders, the L/C Issuer hereby grants to each Revolving Lender, and each Revolving Lender hereby acquires from the L/C Issuer, a participation in such Letter of Credit equal to such Lender’s Applicable Percentage of the aggregate amount available to be drawn under such Letter of Credit. Each Revolving Lender acknowledges and agrees that its obligation to acquire participations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Commitments.</w:t>
      </w:r>
    </w:p>
    <w:p>
      <w:pPr>
        <w:spacing w:after="0" w:line="192"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In consideration and in furtherance of the foregoing, each Revolving Lender hereby absolutely, unconditionally and irrevocably agrees to pay to the Administrative Agent, for account of the L/C Issuer, such Lender’s Applicable Percentage of each L/C Disbursement made by the L/C Issuer not later than 1:00 p.m. on the Business Day specified in the notice provided by the Administrative Agent to the Revolving Lenders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payment obligations of the Revolving Lenders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the Administrative Agent shall promptly pay to the L/C Issuer the amounts so received by it from the Lenders.      Promptly following receipt by the Administrative Agent of any payment from the Borrower pursuant to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the Administrative Agent shall distribute such payment to the L/C Issuer or, to the extent that the Revolving Lenders have made payments pursuant to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(e) to reimburse the L/C Issuer, then to such Lenders and the L/C Issuer as their interests may appear. Any payment made by a Lender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to reimburse the L/C Issuer for any L/C Disbursement shall not constitute a Loan and shall not relieve the Borrower of its obligation to reimburse such L/C Disbursement.</w:t>
      </w:r>
    </w:p>
    <w:p>
      <w:pPr>
        <w:spacing w:after="0" w:line="187"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(iii)            Each Revolving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w:t>
      </w:r>
      <w:r>
        <w:rPr>
          <w:rFonts w:ascii="Times New Roman" w:cs="Times New Roman" w:eastAsia="Times New Roman" w:hAnsi="Times New Roman"/>
          <w:sz w:val="18"/>
          <w:szCs w:val="18"/>
          <w:color w:val="FF0000"/>
          <w:strike w:val="1"/>
        </w:rPr>
        <w:t>pursuant to the operation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Sections 2.16</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as a result of an assignment in accordance with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or otherwise pursuant to this Agreement.</w:t>
      </w:r>
    </w:p>
    <w:p>
      <w:pPr>
        <w:spacing w:after="0" w:line="180"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(iv)            If any Revolving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2.03(e</w:t>
      </w:r>
      <w:r>
        <w:rPr>
          <w:rFonts w:ascii="Times New Roman" w:cs="Times New Roman" w:eastAsia="Times New Roman" w:hAnsi="Times New Roman"/>
          <w:sz w:val="18"/>
          <w:szCs w:val="18"/>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w:t>
      </w:r>
      <w:r>
        <w:rPr>
          <w:rFonts w:ascii="Times New Roman" w:cs="Times New Roman" w:eastAsia="Times New Roman" w:hAnsi="Times New Roman"/>
          <w:sz w:val="18"/>
          <w:szCs w:val="18"/>
          <w:i w:val="1"/>
          <w:iCs w:val="1"/>
          <w:color w:val="auto"/>
        </w:rPr>
        <w:t>greater of</w:t>
      </w:r>
      <w:r>
        <w:rPr>
          <w:rFonts w:ascii="Times New Roman" w:cs="Times New Roman" w:eastAsia="Times New Roman" w:hAnsi="Times New Roman"/>
          <w:sz w:val="18"/>
          <w:szCs w:val="18"/>
          <w:color w:val="auto"/>
        </w:rPr>
        <w:t xml:space="preserve"> the Federal Funds Rate and a rate determined by the L/C Issuer in accordance with banking industry rules on interbank compensation,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administrative, processing or similar fees customarily charged by the L/C Issuer in connection with the foregoing. If such Lender pays such amount (with interest and fees as aforesaid), the amount so paid shall constitute such Lender’s Revolving Loan included in the relevant Revolving Borrowing or L/C Advance in respect of the relevant L/C Borrowing, as the case may be. A certificate of the L/C Issuer submitted to any Revolving Lender (through the Administrative Agent) with respect to any amounts owing under this </w:t>
      </w:r>
      <w:r>
        <w:rPr>
          <w:rFonts w:ascii="Times New Roman" w:cs="Times New Roman" w:eastAsia="Times New Roman" w:hAnsi="Times New Roman"/>
          <w:sz w:val="18"/>
          <w:szCs w:val="18"/>
          <w:u w:val="single" w:color="auto"/>
          <w:color w:val="auto"/>
        </w:rPr>
        <w:t>clause (e)(vi</w:t>
      </w:r>
      <w:r>
        <w:rPr>
          <w:rFonts w:ascii="Times New Roman" w:cs="Times New Roman" w:eastAsia="Times New Roman" w:hAnsi="Times New Roman"/>
          <w:sz w:val="18"/>
          <w:szCs w:val="18"/>
          <w:color w:val="auto"/>
        </w:rPr>
        <w:t>) shall be conclusive absent manifest error.</w:t>
      </w: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6" w:name="page77"/>
    <w:bookmarkEnd w:id="7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Reimbursement</w:t>
      </w:r>
      <w:r>
        <w:rPr>
          <w:rFonts w:ascii="Times New Roman" w:cs="Times New Roman" w:eastAsia="Times New Roman" w:hAnsi="Times New Roman"/>
          <w:sz w:val="18"/>
          <w:szCs w:val="18"/>
          <w:color w:val="auto"/>
        </w:rPr>
        <w:t xml:space="preserve">. If the L/C Issuer shall make any L/C Disbursement in respect of a Letter of Credit, the Borrower shall reimburse the L/C Issuer in respect of such L/C Disbursement by paying to the Administrative Agent an amount equal to such L/C Disbursement not later than 12:00 noon on (i) the Business Day that the Borrower receives notice of such L/C Disbursement, if such notice is received prior to 10:00 a.m. or (ii) the Business Day immediately following the day that the Borrower receives such notice, if such notice is not received prior to such time,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Section 2.04</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such payment be financed with a Borrowing of Base Rate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or Swingline Loan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an equivalent amount and, to the extent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so financed, the Borrower’s obligation to make such payment shall be discharged and replaced by the resulting Borrowing of Base Rate Loans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Swingline Loan</w:t>
      </w:r>
      <w:r>
        <w:rPr>
          <w:rFonts w:ascii="Times New Roman" w:cs="Times New Roman" w:eastAsia="Times New Roman" w:hAnsi="Times New Roman"/>
          <w:sz w:val="18"/>
          <w:szCs w:val="18"/>
          <w:color w:val="000000"/>
        </w:rPr>
        <w:t>. If the Borrower fails to make such payment when due, the Administrative Agent shall notify each Revolving Lender of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applicable L/C Disbursement, the payment then due from the Borrower in respect thereof (the “</w:t>
      </w:r>
      <w:r>
        <w:rPr>
          <w:rFonts w:ascii="Times New Roman" w:cs="Times New Roman" w:eastAsia="Times New Roman" w:hAnsi="Times New Roman"/>
          <w:sz w:val="18"/>
          <w:szCs w:val="18"/>
          <w:i w:val="1"/>
          <w:iCs w:val="1"/>
          <w:u w:val="single" w:color="auto"/>
          <w:color w:val="000000"/>
        </w:rPr>
        <w:t>Unreimbursed Amount</w:t>
      </w:r>
      <w:r>
        <w:rPr>
          <w:rFonts w:ascii="Times New Roman" w:cs="Times New Roman" w:eastAsia="Times New Roman" w:hAnsi="Times New Roman"/>
          <w:sz w:val="18"/>
          <w:szCs w:val="18"/>
          <w:color w:val="000000"/>
        </w:rPr>
        <w:t xml:space="preserve">”) and such Lender’s Applicable Percentage thereof. In such event, the Borrower shall be deemed to have requested a Borrowing of Revolving Loans constituting Base Rate Loans to be disbursed on the date of payment by the L/C Issuer under such Letter of Credit in an amount equal to the Unreimbursed Amount, without regard to the minimum and multiples specified in </w:t>
      </w:r>
      <w:r>
        <w:rPr>
          <w:rFonts w:ascii="Times New Roman" w:cs="Times New Roman" w:eastAsia="Times New Roman" w:hAnsi="Times New Roman"/>
          <w:sz w:val="18"/>
          <w:szCs w:val="18"/>
          <w:u w:val="single" w:color="auto"/>
          <w:color w:val="000000"/>
        </w:rPr>
        <w:t>Section 2.02</w:t>
      </w:r>
      <w:r>
        <w:rPr>
          <w:rFonts w:ascii="Times New Roman" w:cs="Times New Roman" w:eastAsia="Times New Roman" w:hAnsi="Times New Roman"/>
          <w:sz w:val="18"/>
          <w:szCs w:val="18"/>
          <w:color w:val="000000"/>
        </w:rPr>
        <w:t xml:space="preserve"> for the principal amount of Base Rate Loans. Promptly upon receipt of such notice, each Revolving Lender shall pay to the Administrative Agent its Applicable Percentage of the Unreimbursed Amount pursuant to </w:t>
      </w:r>
      <w:r>
        <w:rPr>
          <w:rFonts w:ascii="Times New Roman" w:cs="Times New Roman" w:eastAsia="Times New Roman" w:hAnsi="Times New Roman"/>
          <w:sz w:val="18"/>
          <w:szCs w:val="18"/>
          <w:u w:val="single" w:color="auto"/>
          <w:color w:val="000000"/>
        </w:rPr>
        <w:t>Section 2.03(e)(ii</w:t>
      </w:r>
      <w:r>
        <w:rPr>
          <w:rFonts w:ascii="Times New Roman" w:cs="Times New Roman" w:eastAsia="Times New Roman" w:hAnsi="Times New Roman"/>
          <w:sz w:val="18"/>
          <w:szCs w:val="18"/>
          <w:color w:val="000000"/>
        </w:rPr>
        <w:t xml:space="preserve">), subject to the amount of the unutilized portion of the aggregate Revolving Commitments. Any notice given by the L/C Issuer or the Administrative Agent pursuant to this </w:t>
      </w:r>
      <w:r>
        <w:rPr>
          <w:rFonts w:ascii="Times New Roman" w:cs="Times New Roman" w:eastAsia="Times New Roman" w:hAnsi="Times New Roman"/>
          <w:sz w:val="18"/>
          <w:szCs w:val="18"/>
          <w:u w:val="single" w:color="auto"/>
          <w:color w:val="000000"/>
        </w:rPr>
        <w:t>Section 2.03(f</w:t>
      </w:r>
      <w:r>
        <w:rPr>
          <w:rFonts w:ascii="Times New Roman" w:cs="Times New Roman" w:eastAsia="Times New Roman" w:hAnsi="Times New Roman"/>
          <w:sz w:val="18"/>
          <w:szCs w:val="18"/>
          <w:color w:val="000000"/>
        </w:rPr>
        <w:t xml:space="preserve">) may be given by telephone if immediately confirmed in writing;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00"/>
        </w:rPr>
        <w:t>however</w:t>
      </w:r>
      <w:r>
        <w:rPr>
          <w:rFonts w:ascii="Times New Roman" w:cs="Times New Roman" w:eastAsia="Times New Roman" w:hAnsi="Times New Roman"/>
          <w:sz w:val="18"/>
          <w:szCs w:val="18"/>
          <w:color w:val="000000"/>
        </w:rPr>
        <w:t>, that the lack of such an immediate confirmation shall not affect the conclusiveness or binding effect of such notice.</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color w:val="auto"/>
        </w:rPr>
        <w:t xml:space="preserve">. The Borrower’s obligation to reimburse L/C Disbursements as provided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be absolute, unconditional and irrevocable, and shall be performed strictly in accordance with the terms of this Agreement under any and all circumstances whatsoever and irrespective of:</w:t>
      </w:r>
    </w:p>
    <w:p>
      <w:pPr>
        <w:spacing w:after="0" w:line="176"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              any lack of validity or enforceability of this Agreement, any other Loan Document or any Letter of Credit, or any term or provision herein or therein;</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             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0" w:lineRule="exact"/>
        <w:rPr>
          <w:sz w:val="20"/>
          <w:szCs w:val="20"/>
          <w:color w:val="auto"/>
        </w:rPr>
      </w:pPr>
    </w:p>
    <w:p>
      <w:pPr>
        <w:jc w:val="both"/>
        <w:ind w:left="640" w:firstLine="648"/>
        <w:spacing w:after="0" w:line="312" w:lineRule="auto"/>
        <w:rPr>
          <w:sz w:val="20"/>
          <w:szCs w:val="20"/>
          <w:color w:val="auto"/>
        </w:rPr>
      </w:pPr>
      <w:r>
        <w:rPr>
          <w:rFonts w:ascii="Times New Roman" w:cs="Times New Roman" w:eastAsia="Times New Roman" w:hAnsi="Times New Roman"/>
          <w:sz w:val="17"/>
          <w:szCs w:val="17"/>
          <w:color w:val="auto"/>
        </w:rPr>
        <w:t>(iii)            any draft, demand, certificate or other document presented under such Letter of Credit proving to be forged, fraudulent, invalid or insufficient in any respect or any statement in such draft or other document being untrue or inaccurate in any respect;</w:t>
      </w:r>
    </w:p>
    <w:p>
      <w:pPr>
        <w:spacing w:after="0" w:line="35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77" w:name="page78"/>
    <w:bookmarkEnd w:id="77"/>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(iv)            waiver by the L/C Issuer of any requirement that exists for the L/C Issuer’s protection and not the protection of the Borrower or any waiver by the L/C Issuer which does not in fact materially prejudice the Borrower;</w:t>
      </w:r>
    </w:p>
    <w:p>
      <w:pPr>
        <w:spacing w:after="0" w:line="16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(v)             payment by the L/C Issuer under a Letter of Credit against presentation of a draft or other document that does not comply strictly with the terms of such Letter of Credit; or</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(vi)            any other event or circumstance whatsoever, whether or not similar to any of the foregoing, that might, but for the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constitute a legal or equitable discharge of, or provide a right of setoff against, the Borrower’s obligations hereunder (other than the defense of payment in full in cash).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Examination</w:t>
      </w:r>
      <w:r>
        <w:rPr>
          <w:rFonts w:ascii="Times New Roman" w:cs="Times New Roman" w:eastAsia="Times New Roman" w:hAnsi="Times New Roman"/>
          <w:sz w:val="18"/>
          <w:szCs w:val="18"/>
          <w:color w:val="auto"/>
        </w:rPr>
        <w:t>. The Borrower shall promptly, following receipt thereof,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Liability</w:t>
      </w:r>
      <w:r>
        <w:rPr>
          <w:rFonts w:ascii="Times New Roman" w:cs="Times New Roman" w:eastAsia="Times New Roman" w:hAnsi="Times New Roman"/>
          <w:sz w:val="18"/>
          <w:szCs w:val="18"/>
          <w:color w:val="auto"/>
        </w:rPr>
        <w:t xml:space="preserve">. None of the Administrative Agent, the Lenders, the L/C Issuer, or any of their Related Parties shall have any 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p>
      <w:pPr>
        <w:spacing w:after="0" w:line="192"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              the L/C Issuer may replace a purportedly lost, stolen, or destroyed original Letter of Credit or missing amendment thereto with a certified true copy marked as such or waive a requirement for its presentation;</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             the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39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8" w:name="page79"/>
    <w:bookmarkEnd w:id="78"/>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(iii)            the L/C Issuer shall have the right, in its sole discretion, to decline to accept such documents and to make such payment if such documents are not in strict compliance with the terms of such Letter of Credit; and</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(iv)            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76"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Without limiting the foregoing, none of the Administrative Agent, the Lenders, the L/C Issuer, or any of their Related Parties shall have any liability or responsibility by reason of (A) any presentation that includes forged or fraudulent documents or that is otherwise affected by the fraudulent, bad faith, or illegal conduct of the beneficiary or other Person, (B) the L/C Issuer declining to take-up documents and make payment, (C) against documents that are fraudulent, forged, or for other reasons by which that it is entitled not to honor,</w:t>
      </w:r>
    </w:p>
    <w:p>
      <w:pPr>
        <w:spacing w:after="0" w:line="3" w:lineRule="exact"/>
        <w:rPr>
          <w:sz w:val="20"/>
          <w:szCs w:val="20"/>
          <w:color w:val="auto"/>
        </w:rPr>
      </w:pPr>
    </w:p>
    <w:p>
      <w:pPr>
        <w:jc w:val="both"/>
        <w:ind w:left="640" w:firstLine="4"/>
        <w:spacing w:after="0" w:line="255" w:lineRule="auto"/>
        <w:tabs>
          <w:tab w:leader="none" w:pos="9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Borrower’s waiver of discrepancies with respect to such documents or request for honor of such documents or (E) the L/C Issuer retaining proceeds of a Letter of Credit based on an apparently applicable attachment order, blocking regulation, or third-party claim notified to the L/C Issuer.</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Applicability of ISP and UCP</w:t>
      </w:r>
      <w:r>
        <w:rPr>
          <w:rFonts w:ascii="Times New Roman" w:cs="Times New Roman" w:eastAsia="Times New Roman" w:hAnsi="Times New Roman"/>
          <w:sz w:val="18"/>
          <w:szCs w:val="18"/>
          <w:color w:val="auto"/>
        </w:rPr>
        <w:t>. Unless otherwise expressly agreed by the L/C Issuer and the Borrower when a Letter of Credit is issued by it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Benefits</w:t>
      </w:r>
      <w:r>
        <w:rPr>
          <w:rFonts w:ascii="Times New Roman" w:cs="Times New Roman" w:eastAsia="Times New Roman" w:hAnsi="Times New Roman"/>
          <w:sz w:val="18"/>
          <w:szCs w:val="18"/>
          <w:color w:val="auto"/>
        </w:rPr>
        <w:t xml:space="preserve">. The L/C Issuer shall act on behalf of the Lenders with respect to any Letters of Credit issued by it and the documents associated therewith, and the L/C Issuer shall have all of the benefits and immunities (i) provided to the Administrative Agent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included the L/C Issuer with respect to such acts or omissions, and (ii) as additionally provided herein with respect to the L/C Issuer.</w:t>
      </w:r>
    </w:p>
    <w:p>
      <w:pPr>
        <w:spacing w:after="0" w:line="183"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Letter of Credit Fees</w:t>
      </w:r>
      <w:r>
        <w:rPr>
          <w:rFonts w:ascii="Times New Roman" w:cs="Times New Roman" w:eastAsia="Times New Roman" w:hAnsi="Times New Roman"/>
          <w:sz w:val="18"/>
          <w:szCs w:val="18"/>
          <w:color w:val="auto"/>
        </w:rPr>
        <w:t>. The Borrower shall pay to the Administrative Agent for the account of each Revolving Lender in accordance with its Applicable Revolving Percentage a Letter of Credit fee (the “</w:t>
      </w:r>
      <w:r>
        <w:rPr>
          <w:rFonts w:ascii="Times New Roman" w:cs="Times New Roman" w:eastAsia="Times New Roman" w:hAnsi="Times New Roman"/>
          <w:sz w:val="18"/>
          <w:szCs w:val="18"/>
          <w:i w:val="1"/>
          <w:iCs w:val="1"/>
          <w:u w:val="single" w:color="auto"/>
          <w:color w:val="auto"/>
        </w:rPr>
        <w:t>Letter of Credit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the maximum stated amount of such Letter of Credit for each standby Letter of Credit equal to the Applicable Rate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Letter of Credit Fees shall be (i) payable on the first Business Day following the end of each March, June, September and December, commencing with the first such date to occur after the issuance of such Letter of Credit and (ii) accrued through and including the last day of each calendar quarter in arrears. </w:t>
      </w:r>
      <w:r>
        <w:rPr>
          <w:rFonts w:ascii="Times New Roman" w:cs="Times New Roman" w:eastAsia="Times New Roman" w:hAnsi="Times New Roman"/>
          <w:sz w:val="18"/>
          <w:szCs w:val="18"/>
          <w:color w:val="FF0000"/>
          <w:strike w:val="1"/>
        </w:rPr>
        <w:t>If there is any change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Applicable Rate during any quarter, the daily amount available to be drawn under each Letter of Credit shall be computed and multiplied by the Applicable Rate separately for each period during such quarter that such Applicable Rate was in effect. </w:t>
      </w:r>
      <w:r>
        <w:rPr>
          <w:rFonts w:ascii="Times New Roman" w:cs="Times New Roman" w:eastAsia="Times New Roman" w:hAnsi="Times New Roman"/>
          <w:sz w:val="18"/>
          <w:szCs w:val="18"/>
          <w:color w:val="000000"/>
          <w:strike w:val="1"/>
        </w:rPr>
        <w:t>Notwithstanding anything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to the contrary contained herein, upon the request of the Required Lenders, while any Event of Default exists, all Letter of Credit Fees shall accrue at the Default Rate.</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9" w:name="page80"/>
    <w:bookmarkEnd w:id="7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Fronting Fee and Documentary and Processing Charges Payable to L/C Issuer</w:t>
      </w:r>
      <w:r>
        <w:rPr>
          <w:rFonts w:ascii="Times New Roman" w:cs="Times New Roman" w:eastAsia="Times New Roman" w:hAnsi="Times New Roman"/>
          <w:sz w:val="18"/>
          <w:szCs w:val="18"/>
          <w:color w:val="auto"/>
        </w:rPr>
        <w:t xml:space="preserve">. The Borrower shall pay directly to the L/C Issuer for its own account a fronting fee with respect to each Letter of Credit, at the rate per annum equal to the percentage separately agreed upon between the Borrower and the L/C Issuer, computed on the daily amount available to be drawn under such Letter of Credit on a quarterly basis in arrears. Such fronting fee shall be due and payable on the last Business Day of each March, June, September and December in respect of the most recently- 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In addition, the Borrower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Disbursement Procedures</w:t>
      </w:r>
      <w:r>
        <w:rPr>
          <w:rFonts w:ascii="Times New Roman" w:cs="Times New Roman" w:eastAsia="Times New Roman" w:hAnsi="Times New Roman"/>
          <w:sz w:val="18"/>
          <w:szCs w:val="18"/>
          <w:color w:val="auto"/>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any failure to give or delay in giving such notice shall not relieve the Borrower of its obligation to reimburse the L/C Issuer and the Lenders with respect to any such L/C Disbursement.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Interim Interest</w:t>
      </w:r>
      <w:r>
        <w:rPr>
          <w:rFonts w:ascii="Times New Roman" w:cs="Times New Roman" w:eastAsia="Times New Roman" w:hAnsi="Times New Roman"/>
          <w:sz w:val="18"/>
          <w:szCs w:val="18"/>
          <w:color w:val="auto"/>
        </w:rPr>
        <w:t xml:space="preserve">. If the L/C Issuer for any standby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if the Borrower fails to reimburse such L/C Disbursement when due pursuant to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shall apply. Interest accrued pursuant to this </w:t>
      </w:r>
      <w:r>
        <w:rPr>
          <w:rFonts w:ascii="Times New Roman" w:cs="Times New Roman" w:eastAsia="Times New Roman" w:hAnsi="Times New Roman"/>
          <w:sz w:val="18"/>
          <w:szCs w:val="18"/>
          <w:u w:val="single" w:color="auto"/>
          <w:color w:val="auto"/>
        </w:rPr>
        <w:t>clause (p</w:t>
      </w:r>
      <w:r>
        <w:rPr>
          <w:rFonts w:ascii="Times New Roman" w:cs="Times New Roman" w:eastAsia="Times New Roman" w:hAnsi="Times New Roman"/>
          <w:sz w:val="18"/>
          <w:szCs w:val="18"/>
          <w:color w:val="auto"/>
        </w:rPr>
        <w:t xml:space="preserve">) shall be for account of the L/C Issuer, except that interest accrued on and after the date of payment by any Lender pursuant to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to reimburse the L/C Issuer shall be for account of such Lender to the extent of such payment.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Replacement of the L/C Issuer</w:t>
      </w:r>
      <w:r>
        <w:rPr>
          <w:rFonts w:ascii="Times New Roman" w:cs="Times New Roman" w:eastAsia="Times New Roman" w:hAnsi="Times New Roman"/>
          <w:sz w:val="18"/>
          <w:szCs w:val="18"/>
          <w:color w:val="auto"/>
        </w:rPr>
        <w:t xml:space="preserve">. The L/C Issuer may be replaced at any time by written agreement between the Borrower, the Administrative Agent, the replaced L/C Issuer and the successor L/C Issuer. The Administrative Agent shall notify the Lenders of any such replacement of the L/C Issuer. At the time any such replacement shall become effective, the Borrower shall pay all unpaid fees accrued for the account of the replaced L/C Issuer pursuant to </w:t>
      </w:r>
      <w:r>
        <w:rPr>
          <w:rFonts w:ascii="Times New Roman" w:cs="Times New Roman" w:eastAsia="Times New Roman" w:hAnsi="Times New Roman"/>
          <w:sz w:val="18"/>
          <w:szCs w:val="18"/>
          <w:u w:val="single" w:color="auto"/>
          <w:color w:val="auto"/>
        </w:rPr>
        <w:t>Section 2.03(m</w:t>
      </w:r>
      <w:r>
        <w:rPr>
          <w:rFonts w:ascii="Times New Roman" w:cs="Times New Roman" w:eastAsia="Times New Roman" w:hAnsi="Times New Roman"/>
          <w:sz w:val="18"/>
          <w:szCs w:val="18"/>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the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0" w:name="page81"/>
    <w:bookmarkEnd w:id="80"/>
    <w:p>
      <w:pPr>
        <w:ind w:left="180"/>
        <w:spacing w:after="0"/>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              If (A) any Event of Default shall occur and be continuing, on the Business Day that the Borrower receives notice from the Administrative Agent or the Required Lenders (or, if the maturity of the Loans has been accelerated, Revolving Lenders with L/C Obligations representing at least 66-2/3% of the total L/C Obligations) demanding the deposit of Cash Collateral pursuant to this </w:t>
      </w:r>
      <w:r>
        <w:rPr>
          <w:rFonts w:ascii="Times New Roman" w:cs="Times New Roman" w:eastAsia="Times New Roman" w:hAnsi="Times New Roman"/>
          <w:sz w:val="18"/>
          <w:szCs w:val="18"/>
          <w:u w:val="single" w:color="auto"/>
          <w:color w:val="auto"/>
        </w:rPr>
        <w:t>clause</w:t>
      </w:r>
    </w:p>
    <w:p>
      <w:pPr>
        <w:spacing w:after="0" w:line="1" w:lineRule="exact"/>
        <w:rPr>
          <w:sz w:val="20"/>
          <w:szCs w:val="20"/>
          <w:color w:val="auto"/>
        </w:rPr>
      </w:pPr>
    </w:p>
    <w:p>
      <w:pPr>
        <w:jc w:val="both"/>
        <w:ind w:left="180" w:firstLine="4"/>
        <w:spacing w:after="0" w:line="251" w:lineRule="auto"/>
        <w:tabs>
          <w:tab w:leader="none" w:pos="448"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(B) the Borrower requests, and the L/C Issuer approves, the issuance of an Extended Letter of Credit, the Borrower shall on the Business Day that the Borrower receives such notice in writing or,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no later than the Letter of Credit Expiration Date, deposit into an account established and maintained on the books and records of the Administrative Agent (the “</w:t>
      </w:r>
      <w:r>
        <w:rPr>
          <w:rFonts w:ascii="Times New Roman" w:cs="Times New Roman" w:eastAsia="Times New Roman" w:hAnsi="Times New Roman"/>
          <w:sz w:val="18"/>
          <w:szCs w:val="18"/>
          <w:i w:val="1"/>
          <w:iCs w:val="1"/>
          <w:u w:val="single" w:color="auto"/>
          <w:color w:val="auto"/>
        </w:rPr>
        <w:t>Collateral Account</w:t>
      </w:r>
      <w:r>
        <w:rPr>
          <w:rFonts w:ascii="Times New Roman" w:cs="Times New Roman" w:eastAsia="Times New Roman" w:hAnsi="Times New Roman"/>
          <w:sz w:val="18"/>
          <w:szCs w:val="18"/>
          <w:color w:val="auto"/>
        </w:rPr>
        <w:t xml:space="preserve">”) an amount in cash equal to 103% of the total L/C Obligations as of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and unpaid interest thereon,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Such deposit shall be held by the Administrative Agent as collateral for the payment and performance of the obligations of the Borrower under this Agreement. In addition, and without limiting the foregoing or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any L/C Obligations remain outstanding after the expiration date specified in said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the Borrower shall immediately deposit into the Collateral Account an amount in cash equal to 103% of such L/C Obligations as of such date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any accrued and unpaid interest thereon.</w:t>
      </w:r>
    </w:p>
    <w:p>
      <w:pPr>
        <w:spacing w:after="0" w:line="192"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(ii)             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Collateral Account. Moneys in the Collateral Account shall be applied by the Administrative Agent to reimburse the L/C Issuer for L/C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Loans has been accelerated (but subject to the consent of Lenders with L/C Obligations representing 66-2/3% of the total L/C Obligations),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w:t>
      </w:r>
    </w:p>
    <w:p>
      <w:pPr>
        <w:spacing w:after="0" w:line="5" w:lineRule="exact"/>
        <w:rPr>
          <w:sz w:val="20"/>
          <w:szCs w:val="20"/>
          <w:color w:val="auto"/>
        </w:rPr>
      </w:pPr>
    </w:p>
    <w:p>
      <w:pPr>
        <w:ind w:left="4400" w:right="4700" w:hanging="4216"/>
        <w:spacing w:after="0" w:line="761" w:lineRule="auto"/>
        <w:tabs>
          <w:tab w:leader="none" w:pos="4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all Events of Default have been cured or waived.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1" w:name="page82"/>
    <w:bookmarkEnd w:id="8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Letters of Credit Issued for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Subsidiary, the Borrower shall be obligated to reimburse, indemnify and compensate the L/C Issuer hereunder for any and all drawings under such Letter of Credit as if such Letter of Credit had been issues solely for the account of the Borrower. The Borrower irrevocably waives any and all defenses that might otherwise be available to it as a guarantor or surety of any or all of the obligations of such Subsidiary in respect of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 hereof shall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2.04.       </w:t>
      </w:r>
      <w:r>
        <w:rPr>
          <w:rFonts w:ascii="Times New Roman" w:cs="Times New Roman" w:eastAsia="Times New Roman" w:hAnsi="Times New Roman"/>
          <w:sz w:val="18"/>
          <w:szCs w:val="18"/>
          <w:color w:val="FF0000"/>
          <w:strike w:val="1"/>
        </w:rPr>
        <w:t>Swingline Loans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u w:val="single" w:color="auto"/>
          <w:color w:val="0000FF"/>
        </w:rPr>
        <w:t>[Reserved.]</w:t>
      </w:r>
    </w:p>
    <w:p>
      <w:pPr>
        <w:spacing w:after="0" w:line="229" w:lineRule="exact"/>
        <w:rPr>
          <w:sz w:val="20"/>
          <w:szCs w:val="20"/>
          <w:color w:val="auto"/>
        </w:rPr>
      </w:pPr>
    </w:p>
    <w:p>
      <w:pPr>
        <w:jc w:val="both"/>
        <w:ind w:firstLine="644"/>
        <w:spacing w:after="0" w:line="252" w:lineRule="auto"/>
        <w:tabs>
          <w:tab w:leader="none" w:pos="906" w:val="left"/>
        </w:tabs>
        <w:numPr>
          <w:ilvl w:val="0"/>
          <w:numId w:val="24"/>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u w:val="single" w:color="auto"/>
          <w:color w:val="FF0000"/>
          <w:strike w:val="1"/>
        </w:rPr>
        <w:t>The Swingline</w:t>
      </w:r>
      <w:r>
        <w:rPr>
          <w:rFonts w:ascii="Times New Roman" w:cs="Times New Roman" w:eastAsia="Times New Roman" w:hAnsi="Times New Roman"/>
          <w:sz w:val="18"/>
          <w:szCs w:val="18"/>
          <w:color w:val="FF0000"/>
          <w:strike w:val="1"/>
        </w:rPr>
        <w:t>. Subject to the terms and conditions set forth herein, the Swingline Lender, in reliance upon the agreements of the</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other Lenders set forth in this Section 2.04, may in its sole discretion make loans to the Borrower (each such loan, a “</w:t>
      </w:r>
      <w:r>
        <w:rPr>
          <w:rFonts w:ascii="Times New Roman" w:cs="Times New Roman" w:eastAsia="Times New Roman" w:hAnsi="Times New Roman"/>
          <w:sz w:val="18"/>
          <w:szCs w:val="18"/>
          <w:i w:val="1"/>
          <w:iCs w:val="1"/>
          <w:color w:val="FF0000"/>
          <w:strike w:val="1"/>
        </w:rPr>
        <w:t>Swingline Loan</w:t>
      </w:r>
      <w:r>
        <w:rPr>
          <w:rFonts w:ascii="Times New Roman" w:cs="Times New Roman" w:eastAsia="Times New Roman" w:hAnsi="Times New Roman"/>
          <w:sz w:val="18"/>
          <w:szCs w:val="18"/>
          <w:color w:val="FF0000"/>
          <w:strike w:val="1"/>
        </w:rPr>
        <w:t xml:space="preserve">”). Each such Swingline Loan may be made, subject to the terms and conditions set forth herein, to the Borrower, in Dollars, from time to time on any Business Day during the Availability Period in an aggregate amount not to exceed at any time outstanding the amount of the Swingline Sublimit; </w:t>
      </w:r>
      <w:r>
        <w:rPr>
          <w:rFonts w:ascii="Times New Roman" w:cs="Times New Roman" w:eastAsia="Times New Roman" w:hAnsi="Times New Roman"/>
          <w:sz w:val="18"/>
          <w:szCs w:val="18"/>
          <w:i w:val="1"/>
          <w:iCs w:val="1"/>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color w:val="FF0000"/>
          <w:strike w:val="1"/>
        </w:rPr>
        <w:t>however</w:t>
      </w:r>
      <w:r>
        <w:rPr>
          <w:rFonts w:ascii="Times New Roman" w:cs="Times New Roman" w:eastAsia="Times New Roman" w:hAnsi="Times New Roman"/>
          <w:sz w:val="18"/>
          <w:szCs w:val="18"/>
          <w:color w:val="FF0000"/>
          <w:strike w:val="1"/>
        </w:rPr>
        <w:t>, that (i) after giving effect to any Swingline Loan, (A) the Total Revolving Outstandings shall not exceed the Revolving Facility at such</w:t>
      </w:r>
      <w:r>
        <w:rPr>
          <w:rFonts w:ascii="Times New Roman" w:cs="Times New Roman" w:eastAsia="Times New Roman" w:hAnsi="Times New Roman"/>
          <w:sz w:val="18"/>
          <w:szCs w:val="18"/>
          <w:i w:val="1"/>
          <w:iCs w:val="1"/>
          <w:color w:val="FF0000"/>
          <w:strike w:val="1"/>
        </w:rPr>
        <w:t xml:space="preserve"> </w:t>
      </w:r>
      <w:r>
        <w:rPr>
          <w:rFonts w:ascii="Times New Roman" w:cs="Times New Roman" w:eastAsia="Times New Roman" w:hAnsi="Times New Roman"/>
          <w:sz w:val="18"/>
          <w:szCs w:val="18"/>
          <w:color w:val="FF0000"/>
          <w:strike w:val="1"/>
        </w:rPr>
        <w:t>time and (B) the Revolving Exposure of any Revolving Lender at such time shall not exceed such Lender’s Revolving Commitment,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Section 2.04, prepay under Section 2.05, and reborrow under this Section 2.04. Each Swingline Loan shall bear interest only at a rate based on the Base Rate plus the Applicable Rate.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Revolving Percentage times the amount of such Swingline Loan.</w:t>
      </w:r>
    </w:p>
    <w:p>
      <w:pPr>
        <w:spacing w:after="0" w:line="197" w:lineRule="exact"/>
        <w:rPr>
          <w:rFonts w:ascii="Times New Roman" w:cs="Times New Roman" w:eastAsia="Times New Roman" w:hAnsi="Times New Roman"/>
          <w:sz w:val="18"/>
          <w:szCs w:val="18"/>
          <w:color w:val="FF0000"/>
        </w:rPr>
      </w:pPr>
    </w:p>
    <w:p>
      <w:pPr>
        <w:jc w:val="both"/>
        <w:ind w:firstLine="644"/>
        <w:spacing w:after="0" w:line="252" w:lineRule="auto"/>
        <w:tabs>
          <w:tab w:leader="none" w:pos="903" w:val="left"/>
        </w:tabs>
        <w:numPr>
          <w:ilvl w:val="0"/>
          <w:numId w:val="24"/>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u w:val="single" w:color="auto"/>
          <w:color w:val="FF0000"/>
          <w:strike w:val="1"/>
        </w:rPr>
        <w:t>Borrowing Procedures</w:t>
      </w:r>
      <w:r>
        <w:rPr>
          <w:rFonts w:ascii="Times New Roman" w:cs="Times New Roman" w:eastAsia="Times New Roman" w:hAnsi="Times New Roman"/>
          <w:sz w:val="18"/>
          <w:szCs w:val="18"/>
          <w:color w:val="FF0000"/>
          <w:strike w:val="1"/>
        </w:rPr>
        <w:t>. Each Swingline Borrowing shall be made upon the Borrower’s irrevocable notice to the Swingline Lender and</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 xml:space="preserve">the Administrative Agent, which may be given by: (i) telephone or (ii) a Swingline Loan Notice; </w:t>
      </w:r>
      <w:r>
        <w:rPr>
          <w:rFonts w:ascii="Times New Roman" w:cs="Times New Roman" w:eastAsia="Times New Roman" w:hAnsi="Times New Roman"/>
          <w:sz w:val="18"/>
          <w:szCs w:val="18"/>
          <w:i w:val="1"/>
          <w:iCs w:val="1"/>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color w:val="FF0000"/>
          <w:strike w:val="1"/>
        </w:rPr>
        <w:t>however</w:t>
      </w:r>
      <w:r>
        <w:rPr>
          <w:rFonts w:ascii="Times New Roman" w:cs="Times New Roman" w:eastAsia="Times New Roman" w:hAnsi="Times New Roman"/>
          <w:sz w:val="18"/>
          <w:szCs w:val="18"/>
          <w:color w:val="FF0000"/>
          <w:strike w:val="1"/>
        </w:rPr>
        <w:t>, that any telephonic notice must be confirmed promptly by delivery to the Swingline Lender and the Administrative Agent of a Swingline Loan Notice. Each such Swingline Loan Notice must be received by the Swingline Lender and the Administrative Agent not later than 1:00 p.m. on the requested borrowing date (or such later time as shall be acceptable to the Administrative Agent and the Swingline Lender), and shall specify (A) the amount to be borrowed, which shall be a minimum of $100,000, and (B) the requested date of the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Revolving Lender) prior to 2:00 p.m. on the date of the proposed Swingline Borrowing (1) directing the Swingline Lender not to make such Swingline Loan as a result of the limitations set forth in the first proviso to the first sentence of Section 2.04(a), or (2) that one or more of the applicable conditions specified in Article IV is not then satisfied, then, subject to the terms and conditions hereof, the Swingline Lender may, make the amount of its Swingline Loan available to the Borrower at its office by crediting the account of the Borrower on the books of the Swingline Lender in immediately available funds.</w:t>
      </w:r>
    </w:p>
    <w:p>
      <w:pPr>
        <w:spacing w:after="0" w:line="200" w:lineRule="exact"/>
        <w:rPr>
          <w:sz w:val="20"/>
          <w:szCs w:val="20"/>
          <w:color w:val="auto"/>
        </w:rPr>
      </w:pPr>
    </w:p>
    <w:p>
      <w:pPr>
        <w:spacing w:after="0" w:line="2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2" w:name="page83"/>
    <w:bookmarkEnd w:id="82"/>
    <w:p>
      <w:pPr>
        <w:ind w:left="420" w:hanging="236"/>
        <w:spacing w:after="0"/>
        <w:tabs>
          <w:tab w:leader="none" w:pos="420" w:val="left"/>
        </w:tabs>
        <w:numPr>
          <w:ilvl w:val="0"/>
          <w:numId w:val="25"/>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u w:val="single" w:color="auto"/>
          <w:color w:val="FF0000"/>
          <w:strike w:val="1"/>
        </w:rPr>
        <w:t>Refinancing of Swingline Loans</w:t>
      </w:r>
      <w:r>
        <w:rPr>
          <w:rFonts w:ascii="Times New Roman" w:cs="Times New Roman" w:eastAsia="Times New Roman" w:hAnsi="Times New Roman"/>
          <w:sz w:val="18"/>
          <w:szCs w:val="18"/>
          <w:color w:val="FF0000"/>
          <w:strike w:val="1"/>
        </w:rPr>
        <w: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FF0000"/>
        </w:rPr>
        <w:t>(i)           </w:t>
      </w:r>
      <w:r>
        <w:rPr>
          <w:rFonts w:ascii="Times New Roman" w:cs="Times New Roman" w:eastAsia="Times New Roman" w:hAnsi="Times New Roman"/>
          <w:sz w:val="18"/>
          <w:szCs w:val="18"/>
          <w:color w:val="FF0000"/>
          <w:strike w:val="1"/>
        </w:rPr>
        <w:t>   The Swingline Lender at any time in its sole discretion may request, on behalf of the Borrower (which hereby irrevocably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authorizes the Swingline Lender to so request on its behalf), that each Revolving Lender make a Base Rate Loan in an amount equal to such Lender’s Applicable Revolving Percentage of the amount of Swingline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18"/>
          <w:szCs w:val="18"/>
          <w:u w:val="single" w:color="auto"/>
          <w:color w:val="FF0000"/>
          <w:strike w:val="1"/>
        </w:rPr>
        <w:t>Section 2.02</w:t>
      </w:r>
      <w:r>
        <w:rPr>
          <w:rFonts w:ascii="Times New Roman" w:cs="Times New Roman" w:eastAsia="Times New Roman" w:hAnsi="Times New Roman"/>
          <w:sz w:val="18"/>
          <w:szCs w:val="18"/>
          <w:color w:val="FF0000"/>
          <w:strike w:val="1"/>
        </w:rPr>
        <w:t>, without regard to the minimum and multiples specified therein for the principal amount of Base Rate Loans, but subject to</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 xml:space="preserve">the unutilized portion of the Revolving Facility and the conditions set forth in </w:t>
      </w:r>
      <w:r>
        <w:rPr>
          <w:rFonts w:ascii="Times New Roman" w:cs="Times New Roman" w:eastAsia="Times New Roman" w:hAnsi="Times New Roman"/>
          <w:sz w:val="18"/>
          <w:szCs w:val="18"/>
          <w:u w:val="single" w:color="auto"/>
          <w:color w:val="FF0000"/>
          <w:strike w:val="1"/>
        </w:rPr>
        <w:t>Section 4.02</w:t>
      </w:r>
      <w:r>
        <w:rPr>
          <w:rFonts w:ascii="Times New Roman" w:cs="Times New Roman" w:eastAsia="Times New Roman" w:hAnsi="Times New Roman"/>
          <w:sz w:val="18"/>
          <w:szCs w:val="18"/>
          <w:color w:val="FF0000"/>
          <w:strike w:val="1"/>
        </w:rPr>
        <w:t xml:space="preserve">. The Swingline Lender shall furnish the Borrower with a copy of the applicable Loan Notice promptly after delivering such notice to the Administrative Agent. Each Revolving Lender shall make an amount equal to its Applicable Revolving Percentage of the amount specified in such Loan Notice available to the Administrative Agent in immediately available funds (and the Administrative Agent may apply Cash Collateral available with respect to the applicable Swingline Loan) for the account of the Swingline Lender at the Administrative Agent’s Office not later than 1:00 p.m. on the day specified in such Loan Notice, whereupon, subject to </w:t>
      </w:r>
      <w:r>
        <w:rPr>
          <w:rFonts w:ascii="Times New Roman" w:cs="Times New Roman" w:eastAsia="Times New Roman" w:hAnsi="Times New Roman"/>
          <w:sz w:val="18"/>
          <w:szCs w:val="18"/>
          <w:u w:val="single" w:color="auto"/>
          <w:color w:val="FF0000"/>
          <w:strike w:val="1"/>
        </w:rPr>
        <w:t>Section 2.04(c)(ii</w:t>
      </w:r>
      <w:r>
        <w:rPr>
          <w:rFonts w:ascii="Times New Roman" w:cs="Times New Roman" w:eastAsia="Times New Roman" w:hAnsi="Times New Roman"/>
          <w:sz w:val="18"/>
          <w:szCs w:val="18"/>
          <w:color w:val="FF0000"/>
          <w:strike w:val="1"/>
        </w:rPr>
        <w:t>), each Revolving Lender that so makes funds available shall be deemed to have made a Base Rate Loan to the Borrower in such amount. The Administrative Agent shall remit the funds so received to the Swingline Lender.</w:t>
      </w:r>
    </w:p>
    <w:p>
      <w:pPr>
        <w:spacing w:after="0" w:line="187"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FF0000"/>
        </w:rPr>
        <w:t>(ii)</w:t>
      </w:r>
      <w:r>
        <w:rPr>
          <w:rFonts w:ascii="Times New Roman" w:cs="Times New Roman" w:eastAsia="Times New Roman" w:hAnsi="Times New Roman"/>
          <w:sz w:val="18"/>
          <w:szCs w:val="18"/>
          <w:color w:val="FF0000"/>
          <w:strike w:val="1"/>
        </w:rPr>
        <w:t> Notwithstanding anything to the contrary in the foregoing, if for any reason any Swingline Loan cannot be refinanced by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such a Revolving Borrowing in accordance with </w:t>
      </w:r>
      <w:r>
        <w:rPr>
          <w:rFonts w:ascii="Times New Roman" w:cs="Times New Roman" w:eastAsia="Times New Roman" w:hAnsi="Times New Roman"/>
          <w:sz w:val="18"/>
          <w:szCs w:val="18"/>
          <w:u w:val="single" w:color="auto"/>
          <w:color w:val="FF0000"/>
          <w:strike w:val="1"/>
        </w:rPr>
        <w:t>Section 2.04(c)(i</w:t>
      </w:r>
      <w:r>
        <w:rPr>
          <w:rFonts w:ascii="Times New Roman" w:cs="Times New Roman" w:eastAsia="Times New Roman" w:hAnsi="Times New Roman"/>
          <w:sz w:val="18"/>
          <w:szCs w:val="18"/>
          <w:color w:val="FF0000"/>
          <w:strike w:val="1"/>
        </w:rPr>
        <w:t xml:space="preserve">) (including, without limitation, the failure to satisfy the conditions set forth in </w:t>
      </w:r>
      <w:r>
        <w:rPr>
          <w:rFonts w:ascii="Times New Roman" w:cs="Times New Roman" w:eastAsia="Times New Roman" w:hAnsi="Times New Roman"/>
          <w:sz w:val="18"/>
          <w:szCs w:val="18"/>
          <w:u w:val="single" w:color="auto"/>
          <w:color w:val="FF0000"/>
          <w:strike w:val="1"/>
        </w:rPr>
        <w:t>Section 4.02</w:t>
      </w:r>
      <w:r>
        <w:rPr>
          <w:rFonts w:ascii="Times New Roman" w:cs="Times New Roman" w:eastAsia="Times New Roman" w:hAnsi="Times New Roman"/>
          <w:sz w:val="18"/>
          <w:szCs w:val="18"/>
          <w:color w:val="FF0000"/>
          <w:strike w:val="1"/>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Times New Roman" w:cs="Times New Roman" w:eastAsia="Times New Roman" w:hAnsi="Times New Roman"/>
          <w:sz w:val="18"/>
          <w:szCs w:val="18"/>
          <w:u w:val="single" w:color="auto"/>
          <w:color w:val="FF0000"/>
          <w:strike w:val="1"/>
        </w:rPr>
        <w:t>Section 2.04(c)(i</w:t>
      </w:r>
      <w:r>
        <w:rPr>
          <w:rFonts w:ascii="Times New Roman" w:cs="Times New Roman" w:eastAsia="Times New Roman" w:hAnsi="Times New Roman"/>
          <w:sz w:val="18"/>
          <w:szCs w:val="18"/>
          <w:color w:val="FF0000"/>
          <w:strike w:val="1"/>
        </w:rPr>
        <w:t>) shall be deemed payment in respect of such participation.</w:t>
      </w:r>
    </w:p>
    <w:p>
      <w:pPr>
        <w:spacing w:after="0" w:line="187"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FF0000"/>
        </w:rPr>
        <w:t>(iii)</w:t>
      </w:r>
      <w:r>
        <w:rPr>
          <w:rFonts w:ascii="Times New Roman" w:cs="Times New Roman" w:eastAsia="Times New Roman" w:hAnsi="Times New Roman"/>
          <w:sz w:val="18"/>
          <w:szCs w:val="18"/>
          <w:color w:val="FF0000"/>
          <w:strike w:val="1"/>
        </w:rPr>
        <w:t> If any Revolving Lender fails to make available to the Administrative Agent for the account of the Swingline Lender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amount required to be paid by such Lender pursuant to the foregoing provisions of this </w:t>
      </w:r>
      <w:r>
        <w:rPr>
          <w:rFonts w:ascii="Times New Roman" w:cs="Times New Roman" w:eastAsia="Times New Roman" w:hAnsi="Times New Roman"/>
          <w:sz w:val="18"/>
          <w:szCs w:val="18"/>
          <w:u w:val="single" w:color="auto"/>
          <w:color w:val="FF0000"/>
          <w:strike w:val="1"/>
        </w:rPr>
        <w:t>Section 2.04(c</w:t>
      </w:r>
      <w:r>
        <w:rPr>
          <w:rFonts w:ascii="Times New Roman" w:cs="Times New Roman" w:eastAsia="Times New Roman" w:hAnsi="Times New Roman"/>
          <w:sz w:val="18"/>
          <w:szCs w:val="18"/>
          <w:color w:val="FF0000"/>
          <w:strike w:val="1"/>
        </w:rPr>
        <w:t xml:space="preserve">) by the time specified in </w:t>
      </w:r>
      <w:r>
        <w:rPr>
          <w:rFonts w:ascii="Times New Roman" w:cs="Times New Roman" w:eastAsia="Times New Roman" w:hAnsi="Times New Roman"/>
          <w:sz w:val="18"/>
          <w:szCs w:val="18"/>
          <w:u w:val="single" w:color="auto"/>
          <w:color w:val="FF0000"/>
          <w:strike w:val="1"/>
        </w:rPr>
        <w:t>Section 2.04(c)(i</w:t>
      </w:r>
      <w:r>
        <w:rPr>
          <w:rFonts w:ascii="Times New Roman" w:cs="Times New Roman" w:eastAsia="Times New Roman" w:hAnsi="Times New Roman"/>
          <w:sz w:val="18"/>
          <w:szCs w:val="18"/>
          <w:color w:val="FF0000"/>
          <w:strike w:val="1"/>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w:t>
      </w:r>
      <w:r>
        <w:rPr>
          <w:rFonts w:ascii="Times New Roman" w:cs="Times New Roman" w:eastAsia="Times New Roman" w:hAnsi="Times New Roman"/>
          <w:sz w:val="18"/>
          <w:szCs w:val="18"/>
          <w:i w:val="1"/>
          <w:iCs w:val="1"/>
          <w:color w:val="FF0000"/>
          <w:strike w:val="1"/>
        </w:rPr>
        <w:t>plus</w:t>
      </w:r>
      <w:r>
        <w:rPr>
          <w:rFonts w:ascii="Times New Roman" w:cs="Times New Roman" w:eastAsia="Times New Roman" w:hAnsi="Times New Roman"/>
          <w:sz w:val="18"/>
          <w:szCs w:val="18"/>
          <w:color w:val="FF0000"/>
          <w:strike w:val="1"/>
        </w:rPr>
        <w:t xml:space="preserve">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 certificate of the Swingline Lender submitted to any Lender (through the Administrative Agent) with respect to any amounts owing under this </w:t>
      </w:r>
      <w:r>
        <w:rPr>
          <w:rFonts w:ascii="Times New Roman" w:cs="Times New Roman" w:eastAsia="Times New Roman" w:hAnsi="Times New Roman"/>
          <w:sz w:val="18"/>
          <w:szCs w:val="18"/>
          <w:u w:val="single" w:color="auto"/>
          <w:color w:val="FF0000"/>
          <w:strike w:val="1"/>
        </w:rPr>
        <w:t>clause (c)(iii</w:t>
      </w:r>
      <w:r>
        <w:rPr>
          <w:rFonts w:ascii="Times New Roman" w:cs="Times New Roman" w:eastAsia="Times New Roman" w:hAnsi="Times New Roman"/>
          <w:sz w:val="18"/>
          <w:szCs w:val="18"/>
          <w:color w:val="FF0000"/>
          <w:strike w:val="1"/>
        </w:rPr>
        <w:t>)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-1177290</wp:posOffset>
            </wp:positionV>
            <wp:extent cx="63055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5550" cy="8255"/>
                    </a:xfrm>
                    <a:prstGeom prst="rect">
                      <a:avLst/>
                    </a:prstGeom>
                    <a:noFill/>
                  </pic:spPr>
                </pic:pic>
              </a:graphicData>
            </a:graphic>
          </wp:anchor>
        </w:drawing>
      </w:r>
    </w:p>
    <w:p>
      <w:pPr>
        <w:spacing w:after="0" w:line="3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3" w:name="page84"/>
    <w:bookmarkEnd w:id="83"/>
    <w:p>
      <w:pPr>
        <w:ind w:left="1300" w:firstLine="648"/>
        <w:spacing w:after="0" w:line="261" w:lineRule="auto"/>
        <w:rPr>
          <w:sz w:val="20"/>
          <w:szCs w:val="20"/>
          <w:color w:val="auto"/>
        </w:rPr>
      </w:pPr>
      <w:r>
        <w:rPr>
          <w:rFonts w:ascii="Times New Roman" w:cs="Times New Roman" w:eastAsia="Times New Roman" w:hAnsi="Times New Roman"/>
          <w:sz w:val="18"/>
          <w:szCs w:val="18"/>
          <w:color w:val="FF0000"/>
        </w:rPr>
        <w:t>(iv)          </w:t>
      </w:r>
      <w:r>
        <w:rPr>
          <w:rFonts w:ascii="Times New Roman" w:cs="Times New Roman" w:eastAsia="Times New Roman" w:hAnsi="Times New Roman"/>
          <w:sz w:val="18"/>
          <w:szCs w:val="18"/>
          <w:color w:val="FF0000"/>
          <w:strike w:val="1"/>
        </w:rPr>
        <w:t>  Each Revolving Lender’s obligation to make Revolving Loans or to purchase and fund risk participations in Swingline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Loans pursuant to this </w:t>
      </w:r>
      <w:r>
        <w:rPr>
          <w:rFonts w:ascii="Times New Roman" w:cs="Times New Roman" w:eastAsia="Times New Roman" w:hAnsi="Times New Roman"/>
          <w:sz w:val="18"/>
          <w:szCs w:val="18"/>
          <w:u w:val="single" w:color="auto"/>
          <w:color w:val="FF0000"/>
          <w:strike w:val="1"/>
        </w:rPr>
        <w:t>Section 2.04(c</w:t>
      </w:r>
      <w:r>
        <w:rPr>
          <w:rFonts w:ascii="Times New Roman" w:cs="Times New Roman" w:eastAsia="Times New Roman" w:hAnsi="Times New Roman"/>
          <w:sz w:val="18"/>
          <w:szCs w:val="18"/>
          <w:color w:val="FF0000"/>
          <w:strike w:val="1"/>
        </w:rPr>
        <w:t>) shall be absolute and unconditional and shall not be affected by any circumstance, including</w:t>
      </w:r>
    </w:p>
    <w:p>
      <w:pPr>
        <w:jc w:val="both"/>
        <w:ind w:left="1300" w:firstLine="4"/>
        <w:spacing w:after="0" w:line="252" w:lineRule="auto"/>
        <w:tabs>
          <w:tab w:leader="none" w:pos="1635" w:val="left"/>
        </w:tabs>
        <w:numPr>
          <w:ilvl w:val="0"/>
          <w:numId w:val="2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i w:val="1"/>
          <w:iCs w:val="1"/>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color w:val="FF0000"/>
          <w:strike w:val="1"/>
        </w:rPr>
        <w:t>however</w:t>
      </w:r>
      <w:r>
        <w:rPr>
          <w:rFonts w:ascii="Times New Roman" w:cs="Times New Roman" w:eastAsia="Times New Roman" w:hAnsi="Times New Roman"/>
          <w:sz w:val="18"/>
          <w:szCs w:val="18"/>
          <w:color w:val="FF0000"/>
          <w:strike w:val="1"/>
        </w:rPr>
        <w:t xml:space="preserve">, that each Revolving Lender’s obligation to make Revolving Loans pursuant to this </w:t>
      </w:r>
      <w:r>
        <w:rPr>
          <w:rFonts w:ascii="Times New Roman" w:cs="Times New Roman" w:eastAsia="Times New Roman" w:hAnsi="Times New Roman"/>
          <w:sz w:val="18"/>
          <w:szCs w:val="18"/>
          <w:u w:val="single" w:color="auto"/>
          <w:color w:val="FF0000"/>
          <w:strike w:val="1"/>
        </w:rPr>
        <w:t>Section 2.04(c</w:t>
      </w:r>
      <w:r>
        <w:rPr>
          <w:rFonts w:ascii="Times New Roman" w:cs="Times New Roman" w:eastAsia="Times New Roman" w:hAnsi="Times New Roman"/>
          <w:sz w:val="18"/>
          <w:szCs w:val="18"/>
          <w:color w:val="FF0000"/>
          <w:strike w:val="1"/>
        </w:rPr>
        <w:t xml:space="preserve">) is subject to the conditions set forth in </w:t>
      </w:r>
      <w:r>
        <w:rPr>
          <w:rFonts w:ascii="Times New Roman" w:cs="Times New Roman" w:eastAsia="Times New Roman" w:hAnsi="Times New Roman"/>
          <w:sz w:val="18"/>
          <w:szCs w:val="18"/>
          <w:u w:val="single" w:color="auto"/>
          <w:color w:val="FF0000"/>
          <w:strike w:val="1"/>
        </w:rPr>
        <w:t>Section 4.02</w:t>
      </w:r>
      <w:r>
        <w:rPr>
          <w:rFonts w:ascii="Times New Roman" w:cs="Times New Roman" w:eastAsia="Times New Roman" w:hAnsi="Times New Roman"/>
          <w:sz w:val="18"/>
          <w:szCs w:val="18"/>
          <w:color w:val="FF0000"/>
          <w:strike w:val="1"/>
        </w:rPr>
        <w:t xml:space="preserve"> (other than delivery by the Borrower of a Loan Notice). No such funding of risk participations shall relieve or otherwise impair the obligation of the Borrower to repay Swingline Loans, together with interest as provided herein.</w:t>
      </w:r>
    </w:p>
    <w:p>
      <w:pPr>
        <w:spacing w:after="0" w:line="190" w:lineRule="exact"/>
        <w:rPr>
          <w:sz w:val="20"/>
          <w:szCs w:val="20"/>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u w:val="single" w:color="auto"/>
          <w:color w:val="FF0000"/>
          <w:strike w:val="1"/>
        </w:rPr>
        <w:t>Repayment of Participations</w:t>
      </w:r>
      <w:r>
        <w:rPr>
          <w:rFonts w:ascii="Times New Roman" w:cs="Times New Roman" w:eastAsia="Times New Roman" w:hAnsi="Times New Roman"/>
          <w:sz w:val="18"/>
          <w:szCs w:val="18"/>
          <w:color w:val="FF0000"/>
          <w:strike w:val="1"/>
        </w:rPr>
        <w:t>.</w:t>
      </w:r>
    </w:p>
    <w:p>
      <w:pPr>
        <w:spacing w:after="0" w:line="225" w:lineRule="exact"/>
        <w:rPr>
          <w:rFonts w:ascii="Times New Roman" w:cs="Times New Roman" w:eastAsia="Times New Roman" w:hAnsi="Times New Roman"/>
          <w:sz w:val="18"/>
          <w:szCs w:val="18"/>
          <w:color w:val="FF0000"/>
        </w:rPr>
      </w:pPr>
    </w:p>
    <w:p>
      <w:pPr>
        <w:jc w:val="both"/>
        <w:ind w:left="1300" w:firstLine="652"/>
        <w:spacing w:after="0" w:line="266" w:lineRule="auto"/>
        <w:tabs>
          <w:tab w:leader="none" w:pos="2161" w:val="left"/>
        </w:tabs>
        <w:numPr>
          <w:ilvl w:val="1"/>
          <w:numId w:val="27"/>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At any time after any Revolving Lender has purchased and funded a risk participation in a Swingline Loan, if the Swingline </w:t>
      </w:r>
      <w:r>
        <w:rPr>
          <w:rFonts w:ascii="Times New Roman" w:cs="Times New Roman" w:eastAsia="Times New Roman" w:hAnsi="Times New Roman"/>
          <w:sz w:val="18"/>
          <w:szCs w:val="18"/>
          <w:color w:val="FF0000"/>
          <w:strike w:val="1"/>
        </w:rPr>
        <w:t>Lender receives any payment on account of such Swingline Loan, the Swingline Lender will distribute to such Revolving Lender its Applicable Revolving Percentage thereof in the same funds as those received by the Swingline Lender.</w:t>
      </w:r>
    </w:p>
    <w:p>
      <w:pPr>
        <w:spacing w:after="0" w:line="175" w:lineRule="exact"/>
        <w:rPr>
          <w:rFonts w:ascii="Times New Roman" w:cs="Times New Roman" w:eastAsia="Times New Roman" w:hAnsi="Times New Roman"/>
          <w:sz w:val="18"/>
          <w:szCs w:val="18"/>
          <w:color w:val="FF0000"/>
        </w:rPr>
      </w:pPr>
    </w:p>
    <w:p>
      <w:pPr>
        <w:jc w:val="both"/>
        <w:ind w:left="1300" w:firstLine="652"/>
        <w:spacing w:after="0" w:line="255" w:lineRule="auto"/>
        <w:tabs>
          <w:tab w:leader="none" w:pos="2219" w:val="left"/>
        </w:tabs>
        <w:numPr>
          <w:ilvl w:val="1"/>
          <w:numId w:val="27"/>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If any payment received by the Swingline Lender in respect of principal or interest on any Swingline Loan is required to be </w:t>
      </w:r>
      <w:r>
        <w:rPr>
          <w:rFonts w:ascii="Times New Roman" w:cs="Times New Roman" w:eastAsia="Times New Roman" w:hAnsi="Times New Roman"/>
          <w:sz w:val="18"/>
          <w:szCs w:val="18"/>
          <w:color w:val="FF0000"/>
          <w:strike w:val="1"/>
        </w:rPr>
        <w:t xml:space="preserve">returned by the Swingline Lender under any of the circumstances described in </w:t>
      </w:r>
      <w:r>
        <w:rPr>
          <w:rFonts w:ascii="Times New Roman" w:cs="Times New Roman" w:eastAsia="Times New Roman" w:hAnsi="Times New Roman"/>
          <w:sz w:val="18"/>
          <w:szCs w:val="18"/>
          <w:u w:val="single" w:color="auto"/>
          <w:color w:val="FF0000"/>
          <w:strike w:val="1"/>
        </w:rPr>
        <w:t>Section 11.05</w:t>
      </w:r>
      <w:r>
        <w:rPr>
          <w:rFonts w:ascii="Times New Roman" w:cs="Times New Roman" w:eastAsia="Times New Roman" w:hAnsi="Times New Roman"/>
          <w:sz w:val="18"/>
          <w:szCs w:val="18"/>
          <w:color w:val="FF0000"/>
          <w:strike w:val="1"/>
        </w:rPr>
        <w:t xml:space="preserve"> (including pursuant to any settlement entered into by the Swingline Lender in its discretion), each Revolving Lender shall pay to the Swingline Lender its Applicable Revolving Percentage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w:t>
      </w:r>
    </w:p>
    <w:p>
      <w:pPr>
        <w:spacing w:after="0" w:line="188" w:lineRule="exact"/>
        <w:rPr>
          <w:rFonts w:ascii="Times New Roman" w:cs="Times New Roman" w:eastAsia="Times New Roman" w:hAnsi="Times New Roman"/>
          <w:sz w:val="18"/>
          <w:szCs w:val="18"/>
          <w:color w:val="FF0000"/>
        </w:rPr>
      </w:pPr>
    </w:p>
    <w:p>
      <w:pPr>
        <w:jc w:val="both"/>
        <w:ind w:left="660" w:firstLine="644"/>
        <w:spacing w:after="0" w:line="255" w:lineRule="auto"/>
        <w:tabs>
          <w:tab w:leader="none" w:pos="1552" w:val="left"/>
        </w:tabs>
        <w:numPr>
          <w:ilvl w:val="0"/>
          <w:numId w:val="2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Interest for Account of Swingline Lender</w:t>
      </w:r>
      <w:r>
        <w:rPr>
          <w:rFonts w:ascii="Times New Roman" w:cs="Times New Roman" w:eastAsia="Times New Roman" w:hAnsi="Times New Roman"/>
          <w:sz w:val="18"/>
          <w:szCs w:val="18"/>
          <w:color w:val="FF0000"/>
          <w:strike w:val="1"/>
        </w:rPr>
        <w:t>. The Swingline Lender shall be responsible for invoicing the Borrower for interest on the</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Swingline Loans. Until each Revolving Lender funds its Base Rate Loan or risk participation pursuant to this Section 2.04 to refinance such Revolving Lender’s Applicable Revolving Percentage of any Swingline Loan, interest in respect of such Applicable Revolving Percentage shall be solely for the account of the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1347470</wp:posOffset>
            </wp:positionH>
            <wp:positionV relativeFrom="paragraph">
              <wp:posOffset>-2132330</wp:posOffset>
            </wp:positionV>
            <wp:extent cx="57886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88660" cy="8255"/>
                    </a:xfrm>
                    <a:prstGeom prst="rect">
                      <a:avLst/>
                    </a:prstGeom>
                    <a:noFill/>
                  </pic:spPr>
                </pic:pic>
              </a:graphicData>
            </a:graphic>
          </wp:anchor>
        </w:drawing>
        <w:drawing>
          <wp:anchor simplePos="0" relativeHeight="251657728" behindDoc="1" locked="0" layoutInCell="0" allowOverlap="1">
            <wp:simplePos x="0" y="0"/>
            <wp:positionH relativeFrom="column">
              <wp:posOffset>1379220</wp:posOffset>
            </wp:positionH>
            <wp:positionV relativeFrom="paragraph">
              <wp:posOffset>-1583690</wp:posOffset>
            </wp:positionV>
            <wp:extent cx="57524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24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firstLine="648"/>
        <w:spacing w:after="0" w:line="282" w:lineRule="auto"/>
        <w:rPr>
          <w:sz w:val="20"/>
          <w:szCs w:val="20"/>
          <w:color w:val="auto"/>
        </w:rPr>
      </w:pPr>
      <w:r>
        <w:rPr>
          <w:rFonts w:ascii="Times New Roman" w:cs="Times New Roman" w:eastAsia="Times New Roman" w:hAnsi="Times New Roman"/>
          <w:sz w:val="18"/>
          <w:szCs w:val="18"/>
          <w:color w:val="FF0000"/>
          <w:strike w:val="1"/>
        </w:rPr>
        <w:t>(f)</w:t>
      </w:r>
      <w:r>
        <w:rPr>
          <w:rFonts w:ascii="Times New Roman" w:cs="Times New Roman" w:eastAsia="Times New Roman" w:hAnsi="Times New Roman"/>
          <w:sz w:val="18"/>
          <w:szCs w:val="18"/>
          <w:u w:val="single" w:color="auto"/>
          <w:color w:val="FF0000"/>
          <w:strike w:val="1"/>
        </w:rPr>
        <w:t> Payments Directly to Swingline Lender</w:t>
      </w:r>
      <w:r>
        <w:rPr>
          <w:rFonts w:ascii="Times New Roman" w:cs="Times New Roman" w:eastAsia="Times New Roman" w:hAnsi="Times New Roman"/>
          <w:sz w:val="18"/>
          <w:szCs w:val="18"/>
          <w:color w:val="FF0000"/>
          <w:strike w:val="1"/>
        </w:rPr>
        <w:t>. The Borrower shall make all payments of principal and interest in respect of the Swingline Loans directly to the Swingline Lender.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2.05. </w:t>
      </w:r>
      <w:r>
        <w:rPr>
          <w:rFonts w:ascii="Times New Roman" w:cs="Times New Roman" w:eastAsia="Times New Roman" w:hAnsi="Times New Roman"/>
          <w:sz w:val="18"/>
          <w:szCs w:val="18"/>
          <w:color w:val="auto"/>
        </w:rPr>
        <w:t>      Prepayments.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The Borrower may, upon notice to the Administrative Agent, at any time or from time to time voluntarily prepay Term Loans and Revolving Loans in whole or in part without premium or penalty subject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unless otherwise agreed by the Administrative Agent, that (A) such notice must be in substantially the form of a Notice of Loan Prepayment and be received by the Administrative Agent not later than 11:00 a.m. (A) two Business Days prior to any date of prepayment of Term SOFR Loans and (B) on the date of prepayment of Base Rate Loans; (B) any prepayment of Term SOFR Loans shall be in a principal amount of $1,000,000 or a whole multiple of $100,000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notice delivered by the Borrower may state that such notice is conditioned upon the effectiveness of other transactions, in which case such notice may be revoked by the Borrower (by notice to the Administrative Agent on or prior to the specified effective date) if such condition is not satisfied. Any prepayment of a Term SOFR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Each prepayment of the outstanding Term Loans pursuant to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shall be applied to the principal repayment installments thereof as directed by the Borrower (and in the absence of such direction on a pro-rata basis).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such prepayments shall be paid to the Lenders in accordance with their respective Applicable Percentages in respect of each of the relevant Facilities.</w:t>
      </w:r>
    </w:p>
    <w:p>
      <w:pPr>
        <w:spacing w:after="0" w:line="191" w:lineRule="exact"/>
        <w:rPr>
          <w:sz w:val="20"/>
          <w:szCs w:val="20"/>
          <w:color w:val="auto"/>
        </w:rPr>
      </w:pPr>
    </w:p>
    <w:p>
      <w:pPr>
        <w:jc w:val="both"/>
        <w:ind w:left="640" w:firstLine="652"/>
        <w:spacing w:after="0" w:line="253" w:lineRule="auto"/>
        <w:tabs>
          <w:tab w:leader="none" w:pos="1560" w:val="left"/>
        </w:tabs>
        <w:numPr>
          <w:ilvl w:val="0"/>
          <w:numId w:val="28"/>
        </w:numPr>
        <w:rPr>
          <w:rFonts w:ascii="Times New Roman" w:cs="Times New Roman" w:eastAsia="Times New Roman" w:hAnsi="Times New Roman"/>
          <w:sz w:val="18"/>
          <w:szCs w:val="18"/>
          <w:color w:val="FF0000"/>
        </w:rPr>
      </w:pPr>
      <w:r>
        <w:rPr>
          <w:rFonts w:ascii="Times New Roman" w:cs="Times New Roman" w:eastAsia="Times New Roman" w:hAnsi="Times New Roman"/>
          <w:sz w:val="18"/>
          <w:szCs w:val="18"/>
          <w:color w:val="FF0000"/>
        </w:rPr>
        <w:t xml:space="preserve">The Borrower may, upon notice to the Swingline Lender pursuant to delivery to the Swingline Lender of a Notice of Loan </w:t>
      </w:r>
      <w:r>
        <w:rPr>
          <w:rFonts w:ascii="Times New Roman" w:cs="Times New Roman" w:eastAsia="Times New Roman" w:hAnsi="Times New Roman"/>
          <w:sz w:val="18"/>
          <w:szCs w:val="18"/>
          <w:color w:val="FF0000"/>
          <w:strike w:val="1"/>
        </w:rPr>
        <w:t xml:space="preserve">Prepayment (with a copy to the Administrative Agent), at any time or from time to time, voluntarily prepay Swingline Loans in whole or in part without premium or penalty; </w:t>
      </w:r>
      <w:r>
        <w:rPr>
          <w:rFonts w:ascii="Times New Roman" w:cs="Times New Roman" w:eastAsia="Times New Roman" w:hAnsi="Times New Roman"/>
          <w:sz w:val="18"/>
          <w:szCs w:val="18"/>
          <w:i w:val="1"/>
          <w:iCs w:val="1"/>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however</w:t>
      </w:r>
      <w:r>
        <w:rPr>
          <w:rFonts w:ascii="Times New Roman" w:cs="Times New Roman" w:eastAsia="Times New Roman" w:hAnsi="Times New Roman"/>
          <w:sz w:val="18"/>
          <w:szCs w:val="18"/>
          <w:color w:val="FF0000"/>
          <w:strike w:val="1"/>
        </w:rPr>
        <w:t xml:space="preserve">, that, unless otherwise agreed by the Swingline Lender, (A) such notice must be received by the Swingline Lender and the Administrative Agent not later than 1:00 p.m. on the date of the prepayment, and (B) any such prepayment shall be in a minimum principal amount of $100,000 or a whole multiple of $100,000 in excess 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however</w:t>
      </w:r>
      <w:r>
        <w:rPr>
          <w:rFonts w:ascii="Times New Roman" w:cs="Times New Roman" w:eastAsia="Times New Roman" w:hAnsi="Times New Roman"/>
          <w:sz w:val="18"/>
          <w:szCs w:val="18"/>
          <w:color w:val="FF0000"/>
          <w:strike w:val="1"/>
        </w:rPr>
        <w:t>, that such notice delivered by the Borrower may state that such notice is conditioned upon the effectiveness of other transactions, in which case such notice may be revoked by the Borrower (by notice to the Administrative Agent on or prior to the specified effective date) if such condition is not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-1313180</wp:posOffset>
            </wp:positionV>
            <wp:extent cx="57518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3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5" w:name="page86"/>
    <w:bookmarkEnd w:id="85"/>
    <w:p>
      <w:pPr>
        <w:ind w:left="840"/>
        <w:spacing w:after="0"/>
        <w:rPr>
          <w:sz w:val="20"/>
          <w:szCs w:val="20"/>
          <w:color w:val="auto"/>
        </w:rPr>
      </w:pPr>
      <w:r>
        <w:rPr>
          <w:rFonts w:ascii="Times New Roman" w:cs="Times New Roman" w:eastAsia="Times New Roman" w:hAnsi="Times New Roman"/>
          <w:sz w:val="18"/>
          <w:szCs w:val="18"/>
          <w:u w:val="single" w:color="auto"/>
          <w:color w:val="0000FF"/>
        </w:rPr>
        <w:t>(ii) </w:t>
      </w:r>
      <w:r>
        <w:rPr>
          <w:rFonts w:ascii="Times New Roman" w:cs="Times New Roman" w:eastAsia="Times New Roman" w:hAnsi="Times New Roman"/>
          <w:sz w:val="18"/>
          <w:szCs w:val="18"/>
          <w:color w:val="0000FF"/>
        </w:rPr>
        <w:t>          </w:t>
      </w:r>
      <w:r>
        <w:rPr>
          <w:rFonts w:ascii="Times New Roman" w:cs="Times New Roman" w:eastAsia="Times New Roman" w:hAnsi="Times New Roman"/>
          <w:sz w:val="18"/>
          <w:szCs w:val="18"/>
          <w:u w:val="single" w:color="auto"/>
          <w:color w:val="0000FF"/>
        </w:rPr>
        <w:t>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8890</wp:posOffset>
            </wp:positionV>
            <wp:extent cx="139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Dispositions and Involuntary Dispositions</w:t>
      </w:r>
      <w:r>
        <w:rPr>
          <w:rFonts w:ascii="Times New Roman" w:cs="Times New Roman" w:eastAsia="Times New Roman" w:hAnsi="Times New Roman"/>
          <w:sz w:val="18"/>
          <w:szCs w:val="18"/>
          <w:color w:val="auto"/>
        </w:rPr>
        <w:t xml:space="preserve">. The Borrower shall prepay the Loans and/or Cash Collateralize the L/C Obligations as hereinafter provided in an aggregate amount equal to 100% of the Net Cash Proceeds received by any Loan Party or any Restricted Subsidiary from all Dispositions (other than Permitted Transfers) and Involuntary Dispositions in excess of $7,500,000 individually, and $15,000,000 in the aggregate during the term of this Agreement;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that so long as no Default shall have occurred and be continuing, if the Borrower shall deliver to the Administrative Agent a certificate of a Responsible Officer to the effect that the Loan Parties intend to apply the Net Cash Proceeds from such event (or a portion thereof specified in such certificate), within 270 days (or if the Borrower or its Subsidiary is contractually obligated to apply the Net Cash Proceeds within 270 days, within 365 days) after receipt of such Net Cash Proceeds, to acquire (or replace or rebuild) assets (excluding inventory) to be used in or useful to the business of the Loan Parties, then no prepayment shall be required pursuant to this paragraph in respect of the Net Cash Proceeds specified in such certificate, </w:t>
      </w:r>
      <w:r>
        <w:rPr>
          <w:rFonts w:ascii="Times New Roman" w:cs="Times New Roman" w:eastAsia="Times New Roman" w:hAnsi="Times New Roman"/>
          <w:sz w:val="18"/>
          <w:szCs w:val="18"/>
          <w:i w:val="1"/>
          <w:iCs w:val="1"/>
          <w:u w:val="single" w:color="auto"/>
          <w:color w:val="auto"/>
        </w:rPr>
        <w:t>provided further</w:t>
      </w:r>
      <w:r>
        <w:rPr>
          <w:rFonts w:ascii="Times New Roman" w:cs="Times New Roman" w:eastAsia="Times New Roman" w:hAnsi="Times New Roman"/>
          <w:sz w:val="18"/>
          <w:szCs w:val="18"/>
          <w:color w:val="auto"/>
        </w:rPr>
        <w:t xml:space="preserve"> that to the extent of any such Net Cash Proceeds that have not been so applied by the end of such time period for reinvestment, a prepayment shall be required at such time in an amount equal to such Net Cash Proceeds that have not been so applied.</w:t>
      </w:r>
    </w:p>
    <w:p>
      <w:pPr>
        <w:spacing w:after="0" w:line="190"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Debt Issuance</w:t>
      </w:r>
      <w:r>
        <w:rPr>
          <w:rFonts w:ascii="Times New Roman" w:cs="Times New Roman" w:eastAsia="Times New Roman" w:hAnsi="Times New Roman"/>
          <w:sz w:val="18"/>
          <w:szCs w:val="18"/>
          <w:color w:val="auto"/>
        </w:rPr>
        <w:t>. Immediately upon the receipt by the any Loan Party or any Restricted Subsidiary of the Net Cash Proceeds of any Debt Issuance, the Borrower shall prepay the Loans and/or Cash Collateralize the L/C Obligations as hereinafter provided in an aggregate amount equal to 100% of such Net Cash Proceeds.</w:t>
      </w:r>
    </w:p>
    <w:p>
      <w:pPr>
        <w:spacing w:after="0" w:line="176"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Enzon Prepayment</w:t>
      </w:r>
      <w:r>
        <w:rPr>
          <w:rFonts w:ascii="Times New Roman" w:cs="Times New Roman" w:eastAsia="Times New Roman" w:hAnsi="Times New Roman"/>
          <w:sz w:val="18"/>
          <w:szCs w:val="18"/>
          <w:color w:val="auto"/>
        </w:rPr>
        <w:t xml:space="preserve">. Within five (5) Business Days of the consummation of the Enzon Merger, the Borrower shall prepay the Term Loans in an aggregate principal amount equal to (x) $15,000,000, if the Enzon Merger is consummated on or before December 31, 2025 or (y) $11,250,000, if the Enzon Merger is consummated on or after January 1, 2026 (the prepayment described in the foregoing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(x) and (y), the “</w:t>
      </w:r>
      <w:r>
        <w:rPr>
          <w:rFonts w:ascii="Times New Roman" w:cs="Times New Roman" w:eastAsia="Times New Roman" w:hAnsi="Times New Roman"/>
          <w:sz w:val="18"/>
          <w:szCs w:val="18"/>
          <w:u w:val="single" w:color="auto"/>
          <w:color w:val="auto"/>
        </w:rPr>
        <w:t>Enzon Prepayment</w:t>
      </w:r>
      <w:r>
        <w:rPr>
          <w:rFonts w:ascii="Times New Roman" w:cs="Times New Roman" w:eastAsia="Times New Roman" w:hAnsi="Times New Roman"/>
          <w:sz w:val="18"/>
          <w:szCs w:val="18"/>
          <w:color w:val="auto"/>
        </w:rPr>
        <w:t>”). The Enzon Prepayment shall be applied in direct order of maturity for all such principal repayment installments of the Term Loan and any remaining unapplied amounts shall be applied to the final principal installment on the Maturity Date.</w:t>
      </w:r>
    </w:p>
    <w:p>
      <w:pPr>
        <w:spacing w:after="0" w:line="187"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Application of Payments</w:t>
      </w:r>
      <w:r>
        <w:rPr>
          <w:rFonts w:ascii="Times New Roman" w:cs="Times New Roman" w:eastAsia="Times New Roman" w:hAnsi="Times New Roman"/>
          <w:sz w:val="18"/>
          <w:szCs w:val="18"/>
          <w:color w:val="auto"/>
        </w:rPr>
        <w:t xml:space="preserve">. Each prepayment of Loans pursuant to the foregoing provisions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(ii)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applied, </w:t>
      </w:r>
      <w:r>
        <w:rPr>
          <w:rFonts w:ascii="Times New Roman" w:cs="Times New Roman" w:eastAsia="Times New Roman" w:hAnsi="Times New Roman"/>
          <w:sz w:val="18"/>
          <w:szCs w:val="18"/>
          <w:i w:val="1"/>
          <w:iCs w:val="1"/>
          <w:u w:val="single" w:color="auto"/>
          <w:color w:val="auto"/>
        </w:rPr>
        <w:t>first</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rata</w:t>
      </w:r>
      <w:r>
        <w:rPr>
          <w:rFonts w:ascii="Times New Roman" w:cs="Times New Roman" w:eastAsia="Times New Roman" w:hAnsi="Times New Roman"/>
          <w:sz w:val="18"/>
          <w:szCs w:val="18"/>
          <w:color w:val="auto"/>
        </w:rPr>
        <w:t xml:space="preserve"> basis for all such principal repayment installments of the Term Loan, but specifically excluding the final principal installment on the Maturity Date and, </w:t>
      </w:r>
      <w:r>
        <w:rPr>
          <w:rFonts w:ascii="Times New Roman" w:cs="Times New Roman" w:eastAsia="Times New Roman" w:hAnsi="Times New Roman"/>
          <w:sz w:val="18"/>
          <w:szCs w:val="18"/>
          <w:i w:val="1"/>
          <w:iCs w:val="1"/>
          <w:u w:val="single" w:color="auto"/>
          <w:color w:val="auto"/>
        </w:rPr>
        <w:t>second</w:t>
      </w:r>
      <w:r>
        <w:rPr>
          <w:rFonts w:ascii="Times New Roman" w:cs="Times New Roman" w:eastAsia="Times New Roman" w:hAnsi="Times New Roman"/>
          <w:sz w:val="18"/>
          <w:szCs w:val="18"/>
          <w:color w:val="auto"/>
        </w:rPr>
        <w:t xml:space="preserve">, to the Revolving Facility in the manner set forth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such prepayments shall be paid to the Lenders in accordance with their respective Applicable Percentages in respect of the relevant Facilities.</w:t>
      </w:r>
    </w:p>
    <w:p>
      <w:pPr>
        <w:spacing w:after="0" w:line="39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6" w:name="page87"/>
    <w:bookmarkEnd w:id="86"/>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Revolving Outstandings</w:t>
      </w:r>
      <w:r>
        <w:rPr>
          <w:rFonts w:ascii="Times New Roman" w:cs="Times New Roman" w:eastAsia="Times New Roman" w:hAnsi="Times New Roman"/>
          <w:sz w:val="18"/>
          <w:szCs w:val="18"/>
          <w:color w:val="auto"/>
        </w:rPr>
        <w:t>. If for any reason the Total Revolving Outstandings at any time exceed the Revolving Facility at such time, the Borrower shall immediately prepay Revolving Loans</w:t>
      </w:r>
      <w:r>
        <w:rPr>
          <w:rFonts w:ascii="Times New Roman" w:cs="Times New Roman" w:eastAsia="Times New Roman" w:hAnsi="Times New Roman"/>
          <w:sz w:val="18"/>
          <w:szCs w:val="18"/>
          <w:color w:val="FF0000"/>
          <w:strike w:val="1"/>
        </w:rPr>
        <w:t>, Swingline Loans</w:t>
      </w:r>
      <w:r>
        <w:rPr>
          <w:rFonts w:ascii="Times New Roman" w:cs="Times New Roman" w:eastAsia="Times New Roman" w:hAnsi="Times New Roman"/>
          <w:sz w:val="18"/>
          <w:szCs w:val="18"/>
          <w:color w:val="auto"/>
        </w:rPr>
        <w:t xml:space="preserve"> and L/C Borrowings and/or Cash Collateralize the L/C Obligations in an aggregate amount equal to such excess;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Borrower shall not be required to Cash Collateralize the L/C Obligations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unless, after the prepayment of the Revolving Loans </w:t>
      </w:r>
      <w:r>
        <w:rPr>
          <w:rFonts w:ascii="Times New Roman" w:cs="Times New Roman" w:eastAsia="Times New Roman" w:hAnsi="Times New Roman"/>
          <w:sz w:val="18"/>
          <w:szCs w:val="18"/>
          <w:color w:val="FF0000"/>
          <w:strike w:val="1"/>
        </w:rPr>
        <w:t>and Swingline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Loans</w:t>
      </w:r>
      <w:r>
        <w:rPr>
          <w:rFonts w:ascii="Times New Roman" w:cs="Times New Roman" w:eastAsia="Times New Roman" w:hAnsi="Times New Roman"/>
          <w:sz w:val="18"/>
          <w:szCs w:val="18"/>
          <w:color w:val="000000"/>
        </w:rPr>
        <w:t>, the Total Revolving Outstandings exceed the Revolving Facility at such time.</w:t>
      </w:r>
    </w:p>
    <w:p>
      <w:pPr>
        <w:spacing w:after="0" w:line="183"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Application of Other Payments</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prepayments of the Revolving Facility made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first</w:t>
      </w:r>
      <w:r>
        <w:rPr>
          <w:rFonts w:ascii="Times New Roman" w:cs="Times New Roman" w:eastAsia="Times New Roman" w:hAnsi="Times New Roman"/>
          <w:sz w:val="18"/>
          <w:szCs w:val="18"/>
          <w:color w:val="auto"/>
        </w:rPr>
        <w:t xml:space="preserve">, shall be applied ratably to the L/C Borrowings </w:t>
      </w:r>
      <w:r>
        <w:rPr>
          <w:rFonts w:ascii="Times New Roman" w:cs="Times New Roman" w:eastAsia="Times New Roman" w:hAnsi="Times New Roman"/>
          <w:sz w:val="18"/>
          <w:szCs w:val="18"/>
          <w:color w:val="FF0000"/>
          <w:strike w:val="1"/>
        </w:rPr>
        <w:t>and the Swingline Loans,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second</w:t>
      </w:r>
      <w:r>
        <w:rPr>
          <w:rFonts w:ascii="Times New Roman" w:cs="Times New Roman" w:eastAsia="Times New Roman" w:hAnsi="Times New Roman"/>
          <w:sz w:val="18"/>
          <w:szCs w:val="18"/>
          <w:color w:val="auto"/>
        </w:rPr>
        <w:t xml:space="preserve">, shall be applied to the outstanding Revolving Loans, and, </w:t>
      </w:r>
      <w:r>
        <w:rPr>
          <w:rFonts w:ascii="Times New Roman" w:cs="Times New Roman" w:eastAsia="Times New Roman" w:hAnsi="Times New Roman"/>
          <w:sz w:val="18"/>
          <w:szCs w:val="18"/>
          <w:i w:val="1"/>
          <w:iCs w:val="1"/>
          <w:u w:val="single" w:color="auto"/>
          <w:color w:val="auto"/>
        </w:rPr>
        <w:t>third</w:t>
      </w:r>
      <w:r>
        <w:rPr>
          <w:rFonts w:ascii="Times New Roman" w:cs="Times New Roman" w:eastAsia="Times New Roman" w:hAnsi="Times New Roman"/>
          <w:sz w:val="18"/>
          <w:szCs w:val="18"/>
          <w:color w:val="auto"/>
        </w:rPr>
        <w:t xml:space="preserve">, shall be used to Cash Collateralize the remaining L/C Obligations; and, in the case of prepayments of the Revolving Facility required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(ii)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the amount remaining, if any, after the prepayment in full of all L/C Borrowings</w:t>
      </w:r>
      <w:r>
        <w:rPr>
          <w:rFonts w:ascii="Times New Roman" w:cs="Times New Roman" w:eastAsia="Times New Roman" w:hAnsi="Times New Roman"/>
          <w:sz w:val="18"/>
          <w:szCs w:val="18"/>
          <w:color w:val="FF0000"/>
          <w:strike w:val="1"/>
        </w:rPr>
        <w:t>, Swingline Loans</w:t>
      </w:r>
      <w:r>
        <w:rPr>
          <w:rFonts w:ascii="Times New Roman" w:cs="Times New Roman" w:eastAsia="Times New Roman" w:hAnsi="Times New Roman"/>
          <w:sz w:val="18"/>
          <w:szCs w:val="18"/>
          <w:color w:val="auto"/>
        </w:rPr>
        <w:t xml:space="preserve"> and Revolving Loans outstanding at such time and the Cash Collateralization of the remaining L/C Obligations in full may be retained by the Borrower for use in the ordinary course of its business. Upon the drawing of any Letter of Credit that has been Cash Collateralized, the funds held as Cash Collateral shall be applied (without any further action by or notice to or from the Borrower or any other Loan Party or any Defaulting Lender that has provided Cash Collateral) to reimburse the L/C Issuer or the Revolving Lenders, as applicable.</w:t>
      </w:r>
    </w:p>
    <w:p>
      <w:pPr>
        <w:spacing w:after="0" w:line="188"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u w:val="single" w:color="auto"/>
          <w:color w:val="0000FF"/>
        </w:rPr>
        <w:t>(vii) </w:t>
      </w:r>
      <w:r>
        <w:rPr>
          <w:rFonts w:ascii="Times New Roman" w:cs="Times New Roman" w:eastAsia="Times New Roman" w:hAnsi="Times New Roman"/>
          <w:sz w:val="18"/>
          <w:szCs w:val="18"/>
          <w:color w:val="0000FF"/>
        </w:rPr>
        <w:t>        </w:t>
      </w:r>
      <w:r>
        <w:rPr>
          <w:rFonts w:ascii="Times New Roman" w:cs="Times New Roman" w:eastAsia="Times New Roman" w:hAnsi="Times New Roman"/>
          <w:sz w:val="18"/>
          <w:szCs w:val="18"/>
          <w:u w:val="single" w:color="auto"/>
          <w:color w:val="0000FF"/>
        </w:rPr>
        <w:t>  Certain Permitted Dispositions. Within five (5) Business Days of the consummation of any Disposition of either (x)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equipment, real property and improvements of the Osceola Facility or (y) the real property and improvements of the Chicago Facility, the Borrower shall prepay the Term Loans in an aggregate principal amount equal to 100% of the Net Cash Proceeds received in connection with such Disposition, such prepayment to be applied in direct order of maturity for all such principal repayment installments of the Term Loan and any remaining unapplied amounts shall be applied to the final principal installment on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-565785</wp:posOffset>
            </wp:positionV>
            <wp:extent cx="1968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63"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u w:val="single" w:color="auto"/>
          <w:color w:val="0000FF"/>
        </w:rPr>
        <w:t>(viii) </w:t>
      </w:r>
      <w:r>
        <w:rPr>
          <w:rFonts w:ascii="Times New Roman" w:cs="Times New Roman" w:eastAsia="Times New Roman" w:hAnsi="Times New Roman"/>
          <w:sz w:val="18"/>
          <w:szCs w:val="18"/>
          <w:color w:val="0000FF"/>
        </w:rPr>
        <w:t>       </w:t>
      </w:r>
      <w:r>
        <w:rPr>
          <w:rFonts w:ascii="Times New Roman" w:cs="Times New Roman" w:eastAsia="Times New Roman" w:hAnsi="Times New Roman"/>
          <w:sz w:val="18"/>
          <w:szCs w:val="18"/>
          <w:u w:val="single" w:color="auto"/>
          <w:color w:val="0000FF"/>
        </w:rPr>
        <w:t>  Maximum Cash. If for any reason the aggregate amount of unrestricted cash and Cash Equivalents held by U.S. Loan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Parties exceeds $10,000,000 for any period of five (5) consecutive Business Days, the Borrower shall promptly, but in any event within three (3) Business Days, prepay Revolving Loans and L/C Borrowings and/or Cash Collateralize the L/C Obligations in an aggregate amount equal to such excess; provided that the Borrower shall not be required to comply with the notice requirement under Section 2.05(a)(i) for any such prepayment made pursuant to this Section 2.05(b)(viii).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-582930</wp:posOffset>
            </wp:positionV>
            <wp:extent cx="2286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Within the parameters of the applications set forth above, prepayments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applied first to Base Rate Loans and then to Term SOFR Loans in direct order of Interest Period maturities. All prepayments under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but otherwise without premium or penalty, and shall be accompanied by interest on the principal amount prepaid through the date of prepayment.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2.06.       </w:t>
      </w:r>
      <w:r>
        <w:rPr>
          <w:rFonts w:ascii="Times New Roman" w:cs="Times New Roman" w:eastAsia="Times New Roman" w:hAnsi="Times New Roman"/>
          <w:sz w:val="18"/>
          <w:szCs w:val="18"/>
          <w:color w:val="auto"/>
        </w:rPr>
        <w:t>Termination or Reduction of Commitments.</w:t>
      </w:r>
    </w:p>
    <w:p>
      <w:pPr>
        <w:spacing w:after="0" w:line="229"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w:t>
      </w:r>
      <w:r>
        <w:rPr>
          <w:rFonts w:ascii="Times New Roman" w:cs="Times New Roman" w:eastAsia="Times New Roman" w:hAnsi="Times New Roman"/>
          <w:sz w:val="18"/>
          <w:szCs w:val="18"/>
          <w:color w:val="auto"/>
        </w:rPr>
        <w:t>. The Borrower may, upon notice to the Administrative Agent, terminate the Revolving Facility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the Letter of Credit Sublimit </w:t>
      </w:r>
      <w:r>
        <w:rPr>
          <w:rFonts w:ascii="Times New Roman" w:cs="Times New Roman" w:eastAsia="Times New Roman" w:hAnsi="Times New Roman"/>
          <w:sz w:val="18"/>
          <w:szCs w:val="18"/>
          <w:color w:val="FF0000"/>
          <w:strike w:val="1"/>
        </w:rPr>
        <w:t>or the Swingline Sublimit</w:t>
      </w:r>
      <w:r>
        <w:rPr>
          <w:rFonts w:ascii="Times New Roman" w:cs="Times New Roman" w:eastAsia="Times New Roman" w:hAnsi="Times New Roman"/>
          <w:sz w:val="18"/>
          <w:szCs w:val="18"/>
          <w:color w:val="auto"/>
        </w:rPr>
        <w:t>, or from time to time permanently reduce the Revolving Facility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the Letter of Credit </w:t>
      </w:r>
      <w:r>
        <w:rPr>
          <w:rFonts w:ascii="Times New Roman" w:cs="Times New Roman" w:eastAsia="Times New Roman" w:hAnsi="Times New Roman"/>
          <w:sz w:val="18"/>
          <w:szCs w:val="18"/>
          <w:color w:val="FF0000"/>
          <w:strike w:val="1"/>
        </w:rPr>
        <w:t>Sublimit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Swingline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Sublimit;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u w:val="single" w:color="auto"/>
          <w:color w:val="000000"/>
        </w:rPr>
        <w:t>however</w:t>
      </w:r>
      <w:r>
        <w:rPr>
          <w:rFonts w:ascii="Times New Roman" w:cs="Times New Roman" w:eastAsia="Times New Roman" w:hAnsi="Times New Roman"/>
          <w:sz w:val="18"/>
          <w:szCs w:val="18"/>
          <w:color w:val="000000"/>
        </w:rPr>
        <w:t>, that (i) any such notice shall be received by the Administrative Agent not later than 11:00 a.m. three</w:t>
      </w:r>
    </w:p>
    <w:p>
      <w:pPr>
        <w:spacing w:after="0" w:line="1" w:lineRule="exact"/>
        <w:rPr>
          <w:sz w:val="20"/>
          <w:szCs w:val="20"/>
          <w:color w:val="auto"/>
        </w:rPr>
      </w:pPr>
    </w:p>
    <w:p>
      <w:pPr>
        <w:jc w:val="both"/>
        <w:ind w:left="4" w:hanging="4"/>
        <w:spacing w:after="0" w:line="251"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date of termination or reduction, (ii) any such partial reduction shall be in an aggregate amount of $5,000,000 or any whole multiple of $1,000,000 in excess thereof and (iii) the Borrower shall not terminate or reduce (A) the Revolving Facility if, after giving effect thereto and to any concurrent prepayments hereunder, the Total Revolving Outstandings would exceed the Revolving Facility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(B) the Letter of Credit Sublimit if, after giving effect thereto, the Outstanding Amount of L/C Obligations not fully Cash Collateralized hereunder </w:t>
      </w:r>
      <w:r>
        <w:rPr>
          <w:rFonts w:ascii="Times New Roman" w:cs="Times New Roman" w:eastAsia="Times New Roman" w:hAnsi="Times New Roman"/>
          <w:sz w:val="18"/>
          <w:szCs w:val="18"/>
          <w:color w:val="FF0000"/>
          <w:strike w:val="1"/>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exceed the Letter of Credit Sublimit, or (C) the Swingline Sublimit if, after giving effect thereto and to any concurrent prepayments hereunder, the Outstanding Amount of Swingline Loans </w:t>
      </w:r>
      <w:r>
        <w:rPr>
          <w:rFonts w:ascii="Times New Roman" w:cs="Times New Roman" w:eastAsia="Times New Roman" w:hAnsi="Times New Roman"/>
          <w:sz w:val="18"/>
          <w:szCs w:val="18"/>
          <w:color w:val="000000"/>
          <w:strike w:val="1"/>
        </w:rPr>
        <w:t>would exceed the Letter of Credit Sublimit. A notice of termination of the Revolving Facility delivered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by the Borrower may state that such notice is conditioned upon the effectiveness of other transactions, in which case such notice may be revoked by the Borrower (by notice to the Administrative Agent on or prior to the specified date) if such condition is not satisfied.</w:t>
      </w:r>
    </w:p>
    <w:p>
      <w:pPr>
        <w:spacing w:after="0" w:line="19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firstLine="648"/>
        <w:spacing w:after="0" w:line="282" w:lineRule="auto"/>
        <w:rPr>
          <w:sz w:val="20"/>
          <w:szCs w:val="20"/>
          <w:color w:val="auto"/>
        </w:rPr>
      </w:pPr>
      <w:r>
        <w:rPr>
          <w:rFonts w:ascii="Times New Roman" w:cs="Times New Roman" w:eastAsia="Times New Roman" w:hAnsi="Times New Roman"/>
          <w:sz w:val="18"/>
          <w:szCs w:val="18"/>
          <w:color w:val="auto"/>
        </w:rPr>
        <w:t>(i)             The aggregate Term Commitments shall be automatically and permanently reduced to zero on the date of the Term Borrowing. </w:t>
      </w:r>
    </w:p>
    <w:p>
      <w:pPr>
        <w:spacing w:after="0" w:line="162" w:lineRule="exact"/>
        <w:rPr>
          <w:sz w:val="20"/>
          <w:szCs w:val="20"/>
          <w:color w:val="auto"/>
        </w:rPr>
      </w:pPr>
    </w:p>
    <w:p>
      <w:pPr>
        <w:jc w:val="both"/>
        <w:ind w:left="644"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If after giving effect to any reduction or termination of Revolving Commitments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the Letter of Credit Sublimit </w:t>
      </w:r>
      <w:r>
        <w:rPr>
          <w:rFonts w:ascii="Times New Roman" w:cs="Times New Roman" w:eastAsia="Times New Roman" w:hAnsi="Times New Roman"/>
          <w:sz w:val="18"/>
          <w:szCs w:val="18"/>
          <w:color w:val="FF0000"/>
          <w:strike w:val="1"/>
        </w:rPr>
        <w:t>or the Swingline Sublimit</w:t>
      </w:r>
      <w:r>
        <w:rPr>
          <w:rFonts w:ascii="Times New Roman" w:cs="Times New Roman" w:eastAsia="Times New Roman" w:hAnsi="Times New Roman"/>
          <w:sz w:val="18"/>
          <w:szCs w:val="18"/>
          <w:color w:val="auto"/>
        </w:rPr>
        <w:t xml:space="preserve"> exceeds the Revolving Facility at such time, the Letter of Credit Sublimit </w:t>
      </w:r>
      <w:r>
        <w:rPr>
          <w:rFonts w:ascii="Times New Roman" w:cs="Times New Roman" w:eastAsia="Times New Roman" w:hAnsi="Times New Roman"/>
          <w:sz w:val="18"/>
          <w:szCs w:val="18"/>
          <w:color w:val="FF0000"/>
          <w:strike w:val="1"/>
        </w:rPr>
        <w:t>or the Swingline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Sublimit, as the case may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shall be automatically reduced by the amount of such excess.</w:t>
      </w:r>
    </w:p>
    <w:p>
      <w:pPr>
        <w:spacing w:after="0" w:line="176"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Application of Commitment Reductions; Payment of Fees</w:t>
      </w:r>
      <w:r>
        <w:rPr>
          <w:rFonts w:ascii="Times New Roman" w:cs="Times New Roman" w:eastAsia="Times New Roman" w:hAnsi="Times New Roman"/>
          <w:sz w:val="18"/>
          <w:szCs w:val="18"/>
          <w:color w:val="auto"/>
        </w:rPr>
        <w:t>. The Administrative Agent will promptly notify the Lenders of any termination or reduction of the Letter of Credit Sublimit</w:t>
      </w:r>
      <w:r>
        <w:rPr>
          <w:rFonts w:ascii="Times New Roman" w:cs="Times New Roman" w:eastAsia="Times New Roman" w:hAnsi="Times New Roman"/>
          <w:sz w:val="18"/>
          <w:szCs w:val="18"/>
          <w:color w:val="FF0000"/>
          <w:strike w:val="1"/>
        </w:rPr>
        <w:t>, Swingline Sublimit</w:t>
      </w:r>
      <w:r>
        <w:rPr>
          <w:rFonts w:ascii="Times New Roman" w:cs="Times New Roman" w:eastAsia="Times New Roman" w:hAnsi="Times New Roman"/>
          <w:sz w:val="18"/>
          <w:szCs w:val="18"/>
          <w:color w:val="auto"/>
        </w:rPr>
        <w:t xml:space="preserve"> or the Revolving Commitment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Upon any reduction of the Revolving Commitments, the Revolving Commitment of each Revolving Lender shall be reduced by such Lender’s Applicable Revolving Percentage of such reduction amount. All fees in respect of the Revolving Facility accrued until the effective date of any termination of the Revolving Facility shall be paid on the effective date of such termination.</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2.07.       </w:t>
      </w:r>
      <w:r>
        <w:rPr>
          <w:rFonts w:ascii="Times New Roman" w:cs="Times New Roman" w:eastAsia="Times New Roman" w:hAnsi="Times New Roman"/>
          <w:sz w:val="18"/>
          <w:szCs w:val="18"/>
          <w:color w:val="auto"/>
        </w:rPr>
        <w:t>Repayment of Loans.</w:t>
      </w:r>
    </w:p>
    <w:p>
      <w:pPr>
        <w:spacing w:after="0" w:line="229"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 Loans</w:t>
      </w:r>
      <w:r>
        <w:rPr>
          <w:rFonts w:ascii="Times New Roman" w:cs="Times New Roman" w:eastAsia="Times New Roman" w:hAnsi="Times New Roman"/>
          <w:sz w:val="18"/>
          <w:szCs w:val="18"/>
          <w:color w:val="auto"/>
        </w:rPr>
        <w:t xml:space="preserve">. The Borrower shall repay to the Term Lenders the aggregate principal amount of all Term Loans outstanding on the following dates in the respective amounts set forth opposite such dates (which amounts shall be reduced as a result of the application of prepayments in accordance with the order of priority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unless accelerated sooner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88" w:name="page89"/>
    <w:bookmarkEnd w:id="88"/>
    <w:tbl>
      <w:tblPr>
        <w:tblLayout w:type="fixed"/>
        <w:tblInd w:w="1450" w:type="dxa"/>
        <w:tblCellMar>
          <w:top w:w="0" w:type="dxa"/>
          <w:left w:w="0" w:type="dxa"/>
          <w:bottom w:w="0" w:type="dxa"/>
          <w:right w:w="0" w:type="dxa"/>
        </w:tblCellMar>
      </w:tblPr>
      <w:tr>
        <w:trPr>
          <w:trHeight w:val="211"/>
        </w:trPr>
        <w:tc>
          <w:tcPr>
            <w:tcW w:w="680" w:type="dxa"/>
            <w:vAlign w:val="bottom"/>
            <w:tcBorders>
              <w:top w:val="single" w:sz="8" w:color="010101"/>
              <w:left w:val="single" w:sz="8" w:color="010101"/>
            </w:tcBorders>
          </w:tcPr>
          <w:p>
            <w:pPr>
              <w:spacing w:after="0"/>
              <w:rPr>
                <w:sz w:val="18"/>
                <w:szCs w:val="18"/>
                <w:color w:val="auto"/>
              </w:rPr>
            </w:pPr>
          </w:p>
        </w:tc>
        <w:tc>
          <w:tcPr>
            <w:tcW w:w="20" w:type="dxa"/>
            <w:vAlign w:val="bottom"/>
            <w:tcBorders>
              <w:top w:val="single" w:sz="8" w:color="010101"/>
            </w:tcBorders>
          </w:tcPr>
          <w:p>
            <w:pPr>
              <w:spacing w:after="0"/>
              <w:rPr>
                <w:sz w:val="18"/>
                <w:szCs w:val="18"/>
                <w:color w:val="auto"/>
              </w:rPr>
            </w:pPr>
          </w:p>
        </w:tc>
        <w:tc>
          <w:tcPr>
            <w:tcW w:w="140" w:type="dxa"/>
            <w:vAlign w:val="bottom"/>
            <w:tcBorders>
              <w:top w:val="single" w:sz="8" w:color="010101"/>
            </w:tcBorders>
          </w:tcPr>
          <w:p>
            <w:pPr>
              <w:spacing w:after="0"/>
              <w:rPr>
                <w:sz w:val="18"/>
                <w:szCs w:val="18"/>
                <w:color w:val="auto"/>
              </w:rPr>
            </w:pPr>
          </w:p>
        </w:tc>
        <w:tc>
          <w:tcPr>
            <w:tcW w:w="1980" w:type="dxa"/>
            <w:vAlign w:val="bottom"/>
            <w:tcBorders>
              <w:top w:val="single" w:sz="8" w:color="010101"/>
              <w:right w:val="single" w:sz="8" w:color="010101"/>
            </w:tcBorders>
            <w:gridSpan w:val="5"/>
            <w:vMerge w:val="restart"/>
          </w:tcPr>
          <w:p>
            <w:pPr>
              <w:jc w:val="center"/>
              <w:ind w:right="860"/>
              <w:spacing w:after="0"/>
              <w:rPr>
                <w:sz w:val="20"/>
                <w:szCs w:val="20"/>
                <w:color w:val="auto"/>
              </w:rPr>
            </w:pPr>
            <w:r>
              <w:rPr>
                <w:rFonts w:ascii="Times New Roman" w:cs="Times New Roman" w:eastAsia="Times New Roman" w:hAnsi="Times New Roman"/>
                <w:sz w:val="18"/>
                <w:szCs w:val="18"/>
                <w:color w:val="auto"/>
                <w:w w:val="99"/>
              </w:rPr>
              <w:t>Payment Dates</w:t>
            </w:r>
          </w:p>
        </w:tc>
        <w:tc>
          <w:tcPr>
            <w:tcW w:w="2800" w:type="dxa"/>
            <w:vAlign w:val="bottom"/>
            <w:tcBorders>
              <w:top w:val="single" w:sz="8" w:color="010101"/>
              <w:right w:val="single" w:sz="8" w:color="010101"/>
            </w:tcBorders>
            <w:gridSpan w:val="10"/>
          </w:tcPr>
          <w:p>
            <w:pPr>
              <w:jc w:val="center"/>
              <w:ind w:right="40"/>
              <w:spacing w:after="0"/>
              <w:rPr>
                <w:sz w:val="20"/>
                <w:szCs w:val="20"/>
                <w:color w:val="auto"/>
              </w:rPr>
            </w:pPr>
            <w:r>
              <w:rPr>
                <w:rFonts w:ascii="Times New Roman" w:cs="Times New Roman" w:eastAsia="Times New Roman" w:hAnsi="Times New Roman"/>
                <w:sz w:val="18"/>
                <w:szCs w:val="18"/>
                <w:color w:val="auto"/>
              </w:rPr>
              <w:t>Principal Repayment</w:t>
            </w:r>
          </w:p>
        </w:tc>
        <w:tc>
          <w:tcPr>
            <w:tcW w:w="0" w:type="dxa"/>
            <w:vAlign w:val="bottom"/>
          </w:tcPr>
          <w:p>
            <w:pPr>
              <w:spacing w:after="0"/>
              <w:rPr>
                <w:sz w:val="1"/>
                <w:szCs w:val="1"/>
                <w:color w:val="auto"/>
              </w:rPr>
            </w:pPr>
          </w:p>
        </w:tc>
      </w:tr>
      <w:tr>
        <w:trPr>
          <w:trHeight w:val="126"/>
        </w:trPr>
        <w:tc>
          <w:tcPr>
            <w:tcW w:w="680" w:type="dxa"/>
            <w:vAlign w:val="bottom"/>
            <w:tcBorders>
              <w:left w:val="single" w:sz="8" w:color="010101"/>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80" w:type="dxa"/>
            <w:vAlign w:val="bottom"/>
            <w:tcBorders>
              <w:right w:val="single" w:sz="8" w:color="010101"/>
            </w:tcBorders>
            <w:gridSpan w:val="5"/>
            <w:vMerge w:val="continue"/>
          </w:tcPr>
          <w:p>
            <w:pPr>
              <w:spacing w:after="0"/>
              <w:rPr>
                <w:sz w:val="10"/>
                <w:szCs w:val="10"/>
                <w:color w:val="auto"/>
              </w:rPr>
            </w:pPr>
          </w:p>
        </w:tc>
        <w:tc>
          <w:tcPr>
            <w:tcW w:w="660" w:type="dxa"/>
            <w:vAlign w:val="bottom"/>
          </w:tcPr>
          <w:p>
            <w:pPr>
              <w:spacing w:after="0"/>
              <w:rPr>
                <w:sz w:val="10"/>
                <w:szCs w:val="10"/>
                <w:color w:val="auto"/>
              </w:rPr>
            </w:pPr>
          </w:p>
        </w:tc>
        <w:tc>
          <w:tcPr>
            <w:tcW w:w="2140" w:type="dxa"/>
            <w:vAlign w:val="bottom"/>
            <w:tcBorders>
              <w:right w:val="single" w:sz="8" w:color="010101"/>
            </w:tcBorders>
            <w:gridSpan w:val="9"/>
            <w:vMerge w:val="restart"/>
          </w:tcPr>
          <w:p>
            <w:pPr>
              <w:jc w:val="center"/>
              <w:ind w:right="700"/>
              <w:spacing w:after="0"/>
              <w:rPr>
                <w:sz w:val="20"/>
                <w:szCs w:val="20"/>
                <w:color w:val="auto"/>
              </w:rPr>
            </w:pPr>
            <w:r>
              <w:rPr>
                <w:rFonts w:ascii="Times New Roman" w:cs="Times New Roman" w:eastAsia="Times New Roman" w:hAnsi="Times New Roman"/>
                <w:sz w:val="18"/>
                <w:szCs w:val="18"/>
                <w:color w:val="auto"/>
                <w:w w:val="99"/>
              </w:rPr>
              <w:t>Installments</w:t>
            </w:r>
          </w:p>
        </w:tc>
        <w:tc>
          <w:tcPr>
            <w:tcW w:w="0" w:type="dxa"/>
            <w:vAlign w:val="bottom"/>
          </w:tcPr>
          <w:p>
            <w:pPr>
              <w:spacing w:after="0"/>
              <w:rPr>
                <w:sz w:val="1"/>
                <w:szCs w:val="1"/>
                <w:color w:val="auto"/>
              </w:rPr>
            </w:pPr>
          </w:p>
        </w:tc>
      </w:tr>
      <w:tr>
        <w:trPr>
          <w:trHeight w:val="108"/>
        </w:trPr>
        <w:tc>
          <w:tcPr>
            <w:tcW w:w="680" w:type="dxa"/>
            <w:vAlign w:val="bottom"/>
            <w:tcBorders>
              <w:left w:val="single" w:sz="8" w:color="010101"/>
              <w:bottom w:val="single" w:sz="8" w:color="010101"/>
            </w:tcBorders>
          </w:tcPr>
          <w:p>
            <w:pPr>
              <w:spacing w:after="0"/>
              <w:rPr>
                <w:sz w:val="9"/>
                <w:szCs w:val="9"/>
                <w:color w:val="auto"/>
              </w:rPr>
            </w:pPr>
          </w:p>
        </w:tc>
        <w:tc>
          <w:tcPr>
            <w:tcW w:w="20" w:type="dxa"/>
            <w:vAlign w:val="bottom"/>
            <w:tcBorders>
              <w:bottom w:val="single" w:sz="8" w:color="010101"/>
            </w:tcBorders>
          </w:tcPr>
          <w:p>
            <w:pPr>
              <w:spacing w:after="0"/>
              <w:rPr>
                <w:sz w:val="9"/>
                <w:szCs w:val="9"/>
                <w:color w:val="auto"/>
              </w:rPr>
            </w:pPr>
          </w:p>
        </w:tc>
        <w:tc>
          <w:tcPr>
            <w:tcW w:w="140" w:type="dxa"/>
            <w:vAlign w:val="bottom"/>
            <w:tcBorders>
              <w:bottom w:val="single" w:sz="8" w:color="010101"/>
            </w:tcBorders>
          </w:tcPr>
          <w:p>
            <w:pPr>
              <w:spacing w:after="0"/>
              <w:rPr>
                <w:sz w:val="9"/>
                <w:szCs w:val="9"/>
                <w:color w:val="auto"/>
              </w:rPr>
            </w:pPr>
          </w:p>
        </w:tc>
        <w:tc>
          <w:tcPr>
            <w:tcW w:w="60" w:type="dxa"/>
            <w:vAlign w:val="bottom"/>
            <w:tcBorders>
              <w:bottom w:val="single" w:sz="8" w:color="010101"/>
            </w:tcBorders>
          </w:tcPr>
          <w:p>
            <w:pPr>
              <w:spacing w:after="0"/>
              <w:rPr>
                <w:sz w:val="9"/>
                <w:szCs w:val="9"/>
                <w:color w:val="auto"/>
              </w:rPr>
            </w:pPr>
          </w:p>
        </w:tc>
        <w:tc>
          <w:tcPr>
            <w:tcW w:w="1000" w:type="dxa"/>
            <w:vAlign w:val="bottom"/>
            <w:tcBorders>
              <w:bottom w:val="single" w:sz="8" w:color="010101"/>
            </w:tcBorders>
          </w:tcPr>
          <w:p>
            <w:pPr>
              <w:spacing w:after="0"/>
              <w:rPr>
                <w:sz w:val="9"/>
                <w:szCs w:val="9"/>
                <w:color w:val="auto"/>
              </w:rPr>
            </w:pPr>
          </w:p>
        </w:tc>
        <w:tc>
          <w:tcPr>
            <w:tcW w:w="80" w:type="dxa"/>
            <w:vAlign w:val="bottom"/>
            <w:tcBorders>
              <w:bottom w:val="single" w:sz="8" w:color="010101"/>
            </w:tcBorders>
          </w:tcPr>
          <w:p>
            <w:pPr>
              <w:spacing w:after="0"/>
              <w:rPr>
                <w:sz w:val="9"/>
                <w:szCs w:val="9"/>
                <w:color w:val="auto"/>
              </w:rPr>
            </w:pPr>
          </w:p>
        </w:tc>
        <w:tc>
          <w:tcPr>
            <w:tcW w:w="140" w:type="dxa"/>
            <w:vAlign w:val="bottom"/>
            <w:tcBorders>
              <w:bottom w:val="single" w:sz="8" w:color="010101"/>
            </w:tcBorders>
          </w:tcPr>
          <w:p>
            <w:pPr>
              <w:spacing w:after="0"/>
              <w:rPr>
                <w:sz w:val="9"/>
                <w:szCs w:val="9"/>
                <w:color w:val="auto"/>
              </w:rPr>
            </w:pPr>
          </w:p>
        </w:tc>
        <w:tc>
          <w:tcPr>
            <w:tcW w:w="700" w:type="dxa"/>
            <w:vAlign w:val="bottom"/>
            <w:tcBorders>
              <w:bottom w:val="single" w:sz="8" w:color="010101"/>
              <w:right w:val="single" w:sz="8" w:color="010101"/>
            </w:tcBorders>
          </w:tcPr>
          <w:p>
            <w:pPr>
              <w:spacing w:after="0"/>
              <w:rPr>
                <w:sz w:val="9"/>
                <w:szCs w:val="9"/>
                <w:color w:val="auto"/>
              </w:rPr>
            </w:pPr>
          </w:p>
        </w:tc>
        <w:tc>
          <w:tcPr>
            <w:tcW w:w="660" w:type="dxa"/>
            <w:vAlign w:val="bottom"/>
            <w:tcBorders>
              <w:bottom w:val="single" w:sz="8" w:color="010101"/>
            </w:tcBorders>
          </w:tcPr>
          <w:p>
            <w:pPr>
              <w:spacing w:after="0"/>
              <w:rPr>
                <w:sz w:val="9"/>
                <w:szCs w:val="9"/>
                <w:color w:val="auto"/>
              </w:rPr>
            </w:pPr>
          </w:p>
        </w:tc>
        <w:tc>
          <w:tcPr>
            <w:tcW w:w="2140" w:type="dxa"/>
            <w:vAlign w:val="bottom"/>
            <w:tcBorders>
              <w:bottom w:val="single" w:sz="8" w:color="010101"/>
              <w:right w:val="single" w:sz="8" w:color="010101"/>
            </w:tcBorders>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820" w:type="dxa"/>
            <w:vAlign w:val="bottom"/>
            <w:tcBorders>
              <w:left w:val="single" w:sz="8" w:color="010101"/>
              <w:bottom w:val="single" w:sz="8" w:color="010101"/>
              <w:right w:val="single" w:sz="8" w:color="010101"/>
            </w:tcBorders>
            <w:gridSpan w:val="8"/>
          </w:tcPr>
          <w:p>
            <w:pPr>
              <w:jc w:val="center"/>
              <w:ind w:right="20"/>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$1,875,000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left w:val="single" w:sz="8" w:color="010101"/>
              <w:bottom w:val="single" w:sz="8" w:color="010101"/>
            </w:tcBorders>
          </w:tcPr>
          <w:p>
            <w:pPr>
              <w:spacing w:after="0"/>
              <w:rPr>
                <w:sz w:val="18"/>
                <w:szCs w:val="18"/>
                <w:color w:val="auto"/>
              </w:rPr>
            </w:pPr>
          </w:p>
        </w:tc>
        <w:tc>
          <w:tcPr>
            <w:tcW w:w="2140" w:type="dxa"/>
            <w:vAlign w:val="bottom"/>
            <w:tcBorders>
              <w:bottom w:val="single" w:sz="8" w:color="010101"/>
              <w:right w:val="single" w:sz="8" w:color="010101"/>
            </w:tcBorders>
            <w:gridSpan w:val="7"/>
          </w:tcPr>
          <w:p>
            <w:pPr>
              <w:jc w:val="center"/>
              <w:ind w:right="680"/>
              <w:spacing w:after="0"/>
              <w:rPr>
                <w:sz w:val="20"/>
                <w:szCs w:val="20"/>
                <w:color w:val="auto"/>
              </w:rPr>
            </w:pPr>
            <w:r>
              <w:rPr>
                <w:rFonts w:ascii="Times New Roman" w:cs="Times New Roman" w:eastAsia="Times New Roman" w:hAnsi="Times New Roman"/>
                <w:sz w:val="18"/>
                <w:szCs w:val="18"/>
                <w:color w:val="auto"/>
              </w:rPr>
              <w:t>December 31, 2021</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$1,875,000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left w:val="single" w:sz="8" w:color="010101"/>
              <w:bottom w:val="single" w:sz="8" w:color="010101"/>
            </w:tcBorders>
          </w:tcPr>
          <w:p>
            <w:pPr>
              <w:spacing w:after="0"/>
              <w:rPr>
                <w:sz w:val="18"/>
                <w:szCs w:val="18"/>
                <w:color w:val="auto"/>
              </w:rPr>
            </w:pPr>
          </w:p>
        </w:tc>
        <w:tc>
          <w:tcPr>
            <w:tcW w:w="20" w:type="dxa"/>
            <w:vAlign w:val="bottom"/>
            <w:tcBorders>
              <w:bottom w:val="single" w:sz="8" w:color="010101"/>
            </w:tcBorders>
          </w:tcPr>
          <w:p>
            <w:pPr>
              <w:spacing w:after="0"/>
              <w:rPr>
                <w:sz w:val="18"/>
                <w:szCs w:val="18"/>
                <w:color w:val="auto"/>
              </w:rPr>
            </w:pPr>
          </w:p>
        </w:tc>
        <w:tc>
          <w:tcPr>
            <w:tcW w:w="2120" w:type="dxa"/>
            <w:vAlign w:val="bottom"/>
            <w:tcBorders>
              <w:bottom w:val="single" w:sz="8" w:color="010101"/>
              <w:right w:val="single" w:sz="8" w:color="010101"/>
            </w:tcBorders>
            <w:gridSpan w:val="6"/>
          </w:tcPr>
          <w:p>
            <w:pPr>
              <w:jc w:val="center"/>
              <w:ind w:right="700"/>
              <w:spacing w:after="0"/>
              <w:rPr>
                <w:sz w:val="20"/>
                <w:szCs w:val="20"/>
                <w:color w:val="auto"/>
              </w:rPr>
            </w:pPr>
            <w:r>
              <w:rPr>
                <w:rFonts w:ascii="Times New Roman" w:cs="Times New Roman" w:eastAsia="Times New Roman" w:hAnsi="Times New Roman"/>
                <w:sz w:val="18"/>
                <w:szCs w:val="18"/>
                <w:color w:val="auto"/>
                <w:w w:val="99"/>
              </w:rPr>
              <w:t>March 31, 2022</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$1,875,000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left w:val="single" w:sz="8" w:color="010101"/>
              <w:bottom w:val="single" w:sz="8" w:color="010101"/>
            </w:tcBorders>
          </w:tcPr>
          <w:p>
            <w:pPr>
              <w:spacing w:after="0"/>
              <w:rPr>
                <w:sz w:val="18"/>
                <w:szCs w:val="18"/>
                <w:color w:val="auto"/>
              </w:rPr>
            </w:pPr>
          </w:p>
        </w:tc>
        <w:tc>
          <w:tcPr>
            <w:tcW w:w="20" w:type="dxa"/>
            <w:vAlign w:val="bottom"/>
            <w:tcBorders>
              <w:bottom w:val="single" w:sz="8" w:color="010101"/>
            </w:tcBorders>
          </w:tcPr>
          <w:p>
            <w:pPr>
              <w:spacing w:after="0"/>
              <w:rPr>
                <w:sz w:val="18"/>
                <w:szCs w:val="18"/>
                <w:color w:val="auto"/>
              </w:rPr>
            </w:pPr>
          </w:p>
        </w:tc>
        <w:tc>
          <w:tcPr>
            <w:tcW w:w="140" w:type="dxa"/>
            <w:vAlign w:val="bottom"/>
            <w:tcBorders>
              <w:bottom w:val="single" w:sz="8" w:color="010101"/>
            </w:tcBorders>
          </w:tcPr>
          <w:p>
            <w:pPr>
              <w:spacing w:after="0"/>
              <w:rPr>
                <w:sz w:val="18"/>
                <w:szCs w:val="18"/>
                <w:color w:val="auto"/>
              </w:rPr>
            </w:pPr>
          </w:p>
        </w:tc>
        <w:tc>
          <w:tcPr>
            <w:tcW w:w="1980" w:type="dxa"/>
            <w:vAlign w:val="bottom"/>
            <w:tcBorders>
              <w:bottom w:val="single" w:sz="8" w:color="010101"/>
              <w:right w:val="single" w:sz="8" w:color="010101"/>
            </w:tcBorders>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9"/>
              </w:rPr>
              <w:t>June 30, 2022</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$1,875,000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left w:val="single" w:sz="8" w:color="010101"/>
              <w:bottom w:val="single" w:sz="8" w:color="010101"/>
              <w:right w:val="single" w:sz="8" w:color="010101"/>
            </w:tcBorders>
            <w:gridSpan w:val="8"/>
          </w:tcPr>
          <w:p>
            <w:pPr>
              <w:jc w:val="center"/>
              <w:ind w:right="20"/>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$1,875,000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left w:val="single" w:sz="8" w:color="010101"/>
              <w:bottom w:val="single" w:sz="8" w:color="010101"/>
            </w:tcBorders>
          </w:tcPr>
          <w:p>
            <w:pPr>
              <w:spacing w:after="0"/>
              <w:rPr>
                <w:sz w:val="18"/>
                <w:szCs w:val="18"/>
                <w:color w:val="auto"/>
              </w:rPr>
            </w:pPr>
          </w:p>
        </w:tc>
        <w:tc>
          <w:tcPr>
            <w:tcW w:w="2140" w:type="dxa"/>
            <w:vAlign w:val="bottom"/>
            <w:tcBorders>
              <w:bottom w:val="single" w:sz="8" w:color="010101"/>
              <w:right w:val="single" w:sz="8" w:color="010101"/>
            </w:tcBorders>
            <w:gridSpan w:val="7"/>
          </w:tcPr>
          <w:p>
            <w:pPr>
              <w:jc w:val="center"/>
              <w:ind w:right="680"/>
              <w:spacing w:after="0"/>
              <w:rPr>
                <w:sz w:val="20"/>
                <w:szCs w:val="20"/>
                <w:color w:val="auto"/>
              </w:rPr>
            </w:pPr>
            <w:r>
              <w:rPr>
                <w:rFonts w:ascii="Times New Roman" w:cs="Times New Roman" w:eastAsia="Times New Roman" w:hAnsi="Times New Roman"/>
                <w:sz w:val="18"/>
                <w:szCs w:val="18"/>
                <w:color w:val="auto"/>
              </w:rPr>
              <w:t>December 31, 2022</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$1,875,000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left w:val="single" w:sz="8" w:color="010101"/>
              <w:bottom w:val="single" w:sz="8" w:color="010101"/>
            </w:tcBorders>
          </w:tcPr>
          <w:p>
            <w:pPr>
              <w:spacing w:after="0"/>
              <w:rPr>
                <w:sz w:val="18"/>
                <w:szCs w:val="18"/>
                <w:color w:val="auto"/>
              </w:rPr>
            </w:pPr>
          </w:p>
        </w:tc>
        <w:tc>
          <w:tcPr>
            <w:tcW w:w="20" w:type="dxa"/>
            <w:vAlign w:val="bottom"/>
            <w:tcBorders>
              <w:bottom w:val="single" w:sz="8" w:color="010101"/>
            </w:tcBorders>
          </w:tcPr>
          <w:p>
            <w:pPr>
              <w:spacing w:after="0"/>
              <w:rPr>
                <w:sz w:val="18"/>
                <w:szCs w:val="18"/>
                <w:color w:val="auto"/>
              </w:rPr>
            </w:pPr>
          </w:p>
        </w:tc>
        <w:tc>
          <w:tcPr>
            <w:tcW w:w="2120" w:type="dxa"/>
            <w:vAlign w:val="bottom"/>
            <w:tcBorders>
              <w:bottom w:val="single" w:sz="8" w:color="010101"/>
              <w:right w:val="single" w:sz="8" w:color="010101"/>
            </w:tcBorders>
            <w:gridSpan w:val="6"/>
          </w:tcPr>
          <w:p>
            <w:pPr>
              <w:jc w:val="center"/>
              <w:ind w:right="700"/>
              <w:spacing w:after="0"/>
              <w:rPr>
                <w:sz w:val="20"/>
                <w:szCs w:val="20"/>
                <w:color w:val="auto"/>
              </w:rPr>
            </w:pPr>
            <w:r>
              <w:rPr>
                <w:rFonts w:ascii="Times New Roman" w:cs="Times New Roman" w:eastAsia="Times New Roman" w:hAnsi="Times New Roman"/>
                <w:sz w:val="18"/>
                <w:szCs w:val="18"/>
                <w:color w:val="auto"/>
                <w:w w:val="99"/>
              </w:rPr>
              <w:t>March 31, 2023</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$1,875,000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left w:val="single" w:sz="8" w:color="010101"/>
              <w:bottom w:val="single" w:sz="8" w:color="010101"/>
            </w:tcBorders>
          </w:tcPr>
          <w:p>
            <w:pPr>
              <w:spacing w:after="0"/>
              <w:rPr>
                <w:sz w:val="18"/>
                <w:szCs w:val="18"/>
                <w:color w:val="auto"/>
              </w:rPr>
            </w:pPr>
          </w:p>
        </w:tc>
        <w:tc>
          <w:tcPr>
            <w:tcW w:w="20" w:type="dxa"/>
            <w:vAlign w:val="bottom"/>
            <w:tcBorders>
              <w:bottom w:val="single" w:sz="8" w:color="010101"/>
            </w:tcBorders>
          </w:tcPr>
          <w:p>
            <w:pPr>
              <w:spacing w:after="0"/>
              <w:rPr>
                <w:sz w:val="18"/>
                <w:szCs w:val="18"/>
                <w:color w:val="auto"/>
              </w:rPr>
            </w:pPr>
          </w:p>
        </w:tc>
        <w:tc>
          <w:tcPr>
            <w:tcW w:w="140" w:type="dxa"/>
            <w:vAlign w:val="bottom"/>
            <w:tcBorders>
              <w:bottom w:val="single" w:sz="8" w:color="010101"/>
            </w:tcBorders>
          </w:tcPr>
          <w:p>
            <w:pPr>
              <w:spacing w:after="0"/>
              <w:rPr>
                <w:sz w:val="18"/>
                <w:szCs w:val="18"/>
                <w:color w:val="auto"/>
              </w:rPr>
            </w:pPr>
          </w:p>
        </w:tc>
        <w:tc>
          <w:tcPr>
            <w:tcW w:w="1980" w:type="dxa"/>
            <w:vAlign w:val="bottom"/>
            <w:tcBorders>
              <w:bottom w:val="single" w:sz="8" w:color="010101"/>
              <w:right w:val="single" w:sz="8" w:color="010101"/>
            </w:tcBorders>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9"/>
              </w:rPr>
              <w:t>June 30, 2023</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$1,875,000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Borders>
              <w:left w:val="single" w:sz="8" w:color="010101"/>
              <w:bottom w:val="single" w:sz="8" w:color="010101"/>
              <w:right w:val="single" w:sz="8" w:color="010101"/>
            </w:tcBorders>
            <w:gridSpan w:val="8"/>
          </w:tcPr>
          <w:p>
            <w:pPr>
              <w:jc w:val="center"/>
              <w:ind w:right="2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$2,812,500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left w:val="single" w:sz="8" w:color="010101"/>
              <w:bottom w:val="single" w:sz="8" w:color="010101"/>
            </w:tcBorders>
          </w:tcPr>
          <w:p>
            <w:pPr>
              <w:spacing w:after="0"/>
              <w:rPr>
                <w:sz w:val="18"/>
                <w:szCs w:val="18"/>
                <w:color w:val="auto"/>
              </w:rPr>
            </w:pPr>
          </w:p>
        </w:tc>
        <w:tc>
          <w:tcPr>
            <w:tcW w:w="2140" w:type="dxa"/>
            <w:vAlign w:val="bottom"/>
            <w:tcBorders>
              <w:bottom w:val="single" w:sz="8" w:color="010101"/>
              <w:right w:val="single" w:sz="8" w:color="010101"/>
            </w:tcBorders>
            <w:gridSpan w:val="7"/>
          </w:tcPr>
          <w:p>
            <w:pPr>
              <w:jc w:val="center"/>
              <w:ind w:right="680"/>
              <w:spacing w:after="0"/>
              <w:rPr>
                <w:sz w:val="20"/>
                <w:szCs w:val="20"/>
                <w:color w:val="auto"/>
              </w:rPr>
            </w:pPr>
            <w:r>
              <w:rPr>
                <w:rFonts w:ascii="Times New Roman" w:cs="Times New Roman" w:eastAsia="Times New Roman" w:hAnsi="Times New Roman"/>
                <w:sz w:val="18"/>
                <w:szCs w:val="18"/>
                <w:color w:val="auto"/>
              </w:rPr>
              <w:t>December 31, 2023</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$2,812,500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left w:val="single" w:sz="8" w:color="010101"/>
              <w:bottom w:val="single" w:sz="8" w:color="010101"/>
            </w:tcBorders>
          </w:tcPr>
          <w:p>
            <w:pPr>
              <w:spacing w:after="0"/>
              <w:rPr>
                <w:sz w:val="18"/>
                <w:szCs w:val="18"/>
                <w:color w:val="auto"/>
              </w:rPr>
            </w:pPr>
          </w:p>
        </w:tc>
        <w:tc>
          <w:tcPr>
            <w:tcW w:w="20" w:type="dxa"/>
            <w:vAlign w:val="bottom"/>
            <w:tcBorders>
              <w:bottom w:val="single" w:sz="8" w:color="010101"/>
            </w:tcBorders>
          </w:tcPr>
          <w:p>
            <w:pPr>
              <w:spacing w:after="0"/>
              <w:rPr>
                <w:sz w:val="18"/>
                <w:szCs w:val="18"/>
                <w:color w:val="auto"/>
              </w:rPr>
            </w:pPr>
          </w:p>
        </w:tc>
        <w:tc>
          <w:tcPr>
            <w:tcW w:w="2120" w:type="dxa"/>
            <w:vAlign w:val="bottom"/>
            <w:tcBorders>
              <w:bottom w:val="single" w:sz="8" w:color="010101"/>
              <w:right w:val="single" w:sz="8" w:color="010101"/>
            </w:tcBorders>
            <w:gridSpan w:val="6"/>
          </w:tcPr>
          <w:p>
            <w:pPr>
              <w:jc w:val="center"/>
              <w:ind w:right="700"/>
              <w:spacing w:after="0"/>
              <w:rPr>
                <w:sz w:val="20"/>
                <w:szCs w:val="20"/>
                <w:color w:val="auto"/>
              </w:rPr>
            </w:pPr>
            <w:r>
              <w:rPr>
                <w:rFonts w:ascii="Times New Roman" w:cs="Times New Roman" w:eastAsia="Times New Roman" w:hAnsi="Times New Roman"/>
                <w:sz w:val="18"/>
                <w:szCs w:val="18"/>
                <w:color w:val="auto"/>
                <w:w w:val="99"/>
              </w:rPr>
              <w:t>March 31, 2024</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$2,812,500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left w:val="single" w:sz="8" w:color="010101"/>
              <w:bottom w:val="single" w:sz="8" w:color="010101"/>
            </w:tcBorders>
          </w:tcPr>
          <w:p>
            <w:pPr>
              <w:spacing w:after="0"/>
              <w:rPr>
                <w:sz w:val="18"/>
                <w:szCs w:val="18"/>
                <w:color w:val="auto"/>
              </w:rPr>
            </w:pPr>
          </w:p>
        </w:tc>
        <w:tc>
          <w:tcPr>
            <w:tcW w:w="20" w:type="dxa"/>
            <w:vAlign w:val="bottom"/>
            <w:tcBorders>
              <w:bottom w:val="single" w:sz="8" w:color="010101"/>
            </w:tcBorders>
          </w:tcPr>
          <w:p>
            <w:pPr>
              <w:spacing w:after="0"/>
              <w:rPr>
                <w:sz w:val="18"/>
                <w:szCs w:val="18"/>
                <w:color w:val="auto"/>
              </w:rPr>
            </w:pPr>
          </w:p>
        </w:tc>
        <w:tc>
          <w:tcPr>
            <w:tcW w:w="140" w:type="dxa"/>
            <w:vAlign w:val="bottom"/>
            <w:tcBorders>
              <w:bottom w:val="single" w:sz="8" w:color="010101"/>
            </w:tcBorders>
          </w:tcPr>
          <w:p>
            <w:pPr>
              <w:spacing w:after="0"/>
              <w:rPr>
                <w:sz w:val="18"/>
                <w:szCs w:val="18"/>
                <w:color w:val="auto"/>
              </w:rPr>
            </w:pPr>
          </w:p>
        </w:tc>
        <w:tc>
          <w:tcPr>
            <w:tcW w:w="1980" w:type="dxa"/>
            <w:vAlign w:val="bottom"/>
            <w:tcBorders>
              <w:bottom w:val="single" w:sz="8" w:color="010101"/>
              <w:right w:val="single" w:sz="8" w:color="010101"/>
            </w:tcBorders>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9"/>
              </w:rPr>
              <w:t>June 30, 2024</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$2,812,500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left w:val="single" w:sz="8" w:color="010101"/>
              <w:bottom w:val="single" w:sz="8" w:color="010101"/>
              <w:right w:val="single" w:sz="8" w:color="010101"/>
            </w:tcBorders>
            <w:gridSpan w:val="8"/>
          </w:tcPr>
          <w:p>
            <w:pPr>
              <w:jc w:val="center"/>
              <w:ind w:right="2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$2,812,500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left w:val="single" w:sz="8" w:color="010101"/>
              <w:bottom w:val="single" w:sz="8" w:color="010101"/>
            </w:tcBorders>
          </w:tcPr>
          <w:p>
            <w:pPr>
              <w:spacing w:after="0"/>
              <w:rPr>
                <w:sz w:val="18"/>
                <w:szCs w:val="18"/>
                <w:color w:val="auto"/>
              </w:rPr>
            </w:pPr>
          </w:p>
        </w:tc>
        <w:tc>
          <w:tcPr>
            <w:tcW w:w="2140" w:type="dxa"/>
            <w:vAlign w:val="bottom"/>
            <w:tcBorders>
              <w:bottom w:val="single" w:sz="8" w:color="010101"/>
              <w:right w:val="single" w:sz="8" w:color="010101"/>
            </w:tcBorders>
            <w:gridSpan w:val="7"/>
          </w:tcPr>
          <w:p>
            <w:pPr>
              <w:jc w:val="center"/>
              <w:ind w:right="680"/>
              <w:spacing w:after="0"/>
              <w:rPr>
                <w:sz w:val="20"/>
                <w:szCs w:val="20"/>
                <w:color w:val="auto"/>
              </w:rPr>
            </w:pPr>
            <w:r>
              <w:rPr>
                <w:rFonts w:ascii="Times New Roman" w:cs="Times New Roman" w:eastAsia="Times New Roman" w:hAnsi="Times New Roman"/>
                <w:sz w:val="18"/>
                <w:szCs w:val="18"/>
                <w:color w:val="auto"/>
              </w:rPr>
              <w:t>December 31, 2025</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$2,812,500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left w:val="single" w:sz="8" w:color="010101"/>
              <w:bottom w:val="single" w:sz="8" w:color="010101"/>
            </w:tcBorders>
          </w:tcPr>
          <w:p>
            <w:pPr>
              <w:spacing w:after="0"/>
              <w:rPr>
                <w:sz w:val="18"/>
                <w:szCs w:val="18"/>
                <w:color w:val="auto"/>
              </w:rPr>
            </w:pPr>
          </w:p>
        </w:tc>
        <w:tc>
          <w:tcPr>
            <w:tcW w:w="20" w:type="dxa"/>
            <w:vAlign w:val="bottom"/>
            <w:tcBorders>
              <w:bottom w:val="single" w:sz="8" w:color="010101"/>
            </w:tcBorders>
          </w:tcPr>
          <w:p>
            <w:pPr>
              <w:spacing w:after="0"/>
              <w:rPr>
                <w:sz w:val="18"/>
                <w:szCs w:val="18"/>
                <w:color w:val="auto"/>
              </w:rPr>
            </w:pPr>
          </w:p>
        </w:tc>
        <w:tc>
          <w:tcPr>
            <w:tcW w:w="2120" w:type="dxa"/>
            <w:vAlign w:val="bottom"/>
            <w:tcBorders>
              <w:bottom w:val="single" w:sz="8" w:color="010101"/>
              <w:right w:val="single" w:sz="8" w:color="010101"/>
            </w:tcBorders>
            <w:gridSpan w:val="6"/>
          </w:tcPr>
          <w:p>
            <w:pPr>
              <w:jc w:val="center"/>
              <w:ind w:right="700"/>
              <w:spacing w:after="0"/>
              <w:rPr>
                <w:sz w:val="20"/>
                <w:szCs w:val="20"/>
                <w:color w:val="auto"/>
              </w:rPr>
            </w:pPr>
            <w:r>
              <w:rPr>
                <w:rFonts w:ascii="Times New Roman" w:cs="Times New Roman" w:eastAsia="Times New Roman" w:hAnsi="Times New Roman"/>
                <w:sz w:val="18"/>
                <w:szCs w:val="18"/>
                <w:color w:val="auto"/>
                <w:w w:val="99"/>
              </w:rPr>
              <w:t>March 31, 2025</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$2,812,500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left w:val="single" w:sz="8" w:color="010101"/>
              <w:bottom w:val="single" w:sz="8" w:color="010101"/>
            </w:tcBorders>
          </w:tcPr>
          <w:p>
            <w:pPr>
              <w:spacing w:after="0"/>
              <w:rPr>
                <w:sz w:val="18"/>
                <w:szCs w:val="18"/>
                <w:color w:val="auto"/>
              </w:rPr>
            </w:pPr>
          </w:p>
        </w:tc>
        <w:tc>
          <w:tcPr>
            <w:tcW w:w="20" w:type="dxa"/>
            <w:vAlign w:val="bottom"/>
            <w:tcBorders>
              <w:bottom w:val="single" w:sz="8" w:color="010101"/>
            </w:tcBorders>
          </w:tcPr>
          <w:p>
            <w:pPr>
              <w:spacing w:after="0"/>
              <w:rPr>
                <w:sz w:val="18"/>
                <w:szCs w:val="18"/>
                <w:color w:val="auto"/>
              </w:rPr>
            </w:pPr>
          </w:p>
        </w:tc>
        <w:tc>
          <w:tcPr>
            <w:tcW w:w="140" w:type="dxa"/>
            <w:vAlign w:val="bottom"/>
            <w:tcBorders>
              <w:bottom w:val="single" w:sz="8" w:color="010101"/>
            </w:tcBorders>
          </w:tcPr>
          <w:p>
            <w:pPr>
              <w:spacing w:after="0"/>
              <w:rPr>
                <w:sz w:val="18"/>
                <w:szCs w:val="18"/>
                <w:color w:val="auto"/>
              </w:rPr>
            </w:pPr>
          </w:p>
        </w:tc>
        <w:tc>
          <w:tcPr>
            <w:tcW w:w="1980" w:type="dxa"/>
            <w:vAlign w:val="bottom"/>
            <w:tcBorders>
              <w:bottom w:val="single" w:sz="8" w:color="010101"/>
              <w:right w:val="single" w:sz="8" w:color="010101"/>
            </w:tcBorders>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9"/>
              </w:rPr>
              <w:t>June 30, 2025</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$2,812,500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Borders>
              <w:left w:val="single" w:sz="8" w:color="010101"/>
              <w:bottom w:val="single" w:sz="8" w:color="010101"/>
              <w:right w:val="single" w:sz="8" w:color="010101"/>
            </w:tcBorders>
            <w:gridSpan w:val="8"/>
          </w:tcPr>
          <w:p>
            <w:pPr>
              <w:jc w:val="center"/>
              <w:ind w:right="2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$3,750,000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left w:val="single" w:sz="8" w:color="010101"/>
              <w:bottom w:val="single" w:sz="8" w:color="010101"/>
            </w:tcBorders>
          </w:tcPr>
          <w:p>
            <w:pPr>
              <w:spacing w:after="0"/>
              <w:rPr>
                <w:sz w:val="18"/>
                <w:szCs w:val="18"/>
                <w:color w:val="auto"/>
              </w:rPr>
            </w:pPr>
          </w:p>
        </w:tc>
        <w:tc>
          <w:tcPr>
            <w:tcW w:w="2140" w:type="dxa"/>
            <w:vAlign w:val="bottom"/>
            <w:tcBorders>
              <w:bottom w:val="single" w:sz="8" w:color="010101"/>
              <w:right w:val="single" w:sz="8" w:color="010101"/>
            </w:tcBorders>
            <w:gridSpan w:val="7"/>
          </w:tcPr>
          <w:p>
            <w:pPr>
              <w:jc w:val="center"/>
              <w:ind w:right="680"/>
              <w:spacing w:after="0"/>
              <w:rPr>
                <w:sz w:val="20"/>
                <w:szCs w:val="20"/>
                <w:color w:val="auto"/>
              </w:rPr>
            </w:pPr>
            <w:r>
              <w:rPr>
                <w:rFonts w:ascii="Times New Roman" w:cs="Times New Roman" w:eastAsia="Times New Roman" w:hAnsi="Times New Roman"/>
                <w:sz w:val="18"/>
                <w:szCs w:val="18"/>
                <w:color w:val="auto"/>
              </w:rPr>
              <w:t>December 31, 2025</w:t>
            </w:r>
          </w:p>
        </w:tc>
        <w:tc>
          <w:tcPr>
            <w:tcW w:w="2200" w:type="dxa"/>
            <w:vAlign w:val="bottom"/>
            <w:tcBorders>
              <w:bottom w:val="single" w:sz="8" w:color="010101"/>
            </w:tcBorders>
            <w:gridSpan w:val="9"/>
          </w:tcPr>
          <w:p>
            <w:pPr>
              <w:jc w:val="center"/>
              <w:ind w:left="491"/>
              <w:spacing w:after="0"/>
              <w:rPr>
                <w:sz w:val="20"/>
                <w:szCs w:val="20"/>
                <w:color w:val="auto"/>
              </w:rPr>
            </w:pPr>
            <w:r>
              <w:rPr>
                <w:rFonts w:ascii="Times New Roman" w:cs="Times New Roman" w:eastAsia="Times New Roman" w:hAnsi="Times New Roman"/>
                <w:sz w:val="18"/>
                <w:szCs w:val="18"/>
                <w:color w:val="auto"/>
              </w:rPr>
              <w:t>$3,750,000</w:t>
            </w:r>
          </w:p>
        </w:tc>
        <w:tc>
          <w:tcPr>
            <w:tcW w:w="600" w:type="dxa"/>
            <w:vAlign w:val="bottom"/>
            <w:tcBorders>
              <w:bottom w:val="single" w:sz="8" w:color="010101"/>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80" w:type="dxa"/>
            <w:vAlign w:val="bottom"/>
            <w:tcBorders>
              <w:left w:val="single" w:sz="8" w:color="010101"/>
            </w:tcBorders>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Borders>
              <w:right w:val="single" w:sz="8" w:color="010101"/>
            </w:tcBorders>
            <w:gridSpan w:val="6"/>
          </w:tcPr>
          <w:p>
            <w:pPr>
              <w:jc w:val="center"/>
              <w:ind w:right="700"/>
              <w:spacing w:after="0" w:line="169" w:lineRule="exact"/>
              <w:rPr>
                <w:sz w:val="20"/>
                <w:szCs w:val="20"/>
                <w:color w:val="auto"/>
              </w:rPr>
            </w:pPr>
            <w:r>
              <w:rPr>
                <w:rFonts w:ascii="Times New Roman" w:cs="Times New Roman" w:eastAsia="Times New Roman" w:hAnsi="Times New Roman"/>
                <w:sz w:val="18"/>
                <w:szCs w:val="18"/>
                <w:color w:val="auto"/>
                <w:w w:val="99"/>
              </w:rPr>
              <w:t>March 31, 2026</w:t>
            </w: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w w:val="97"/>
              </w:rPr>
              <w:t>3,750,000</w:t>
            </w:r>
          </w:p>
        </w:tc>
        <w:tc>
          <w:tcPr>
            <w:tcW w:w="1420" w:type="dxa"/>
            <w:vAlign w:val="bottom"/>
            <w:tcBorders>
              <w:right w:val="single" w:sz="8" w:color="010101"/>
            </w:tcBorders>
            <w:gridSpan w:val="5"/>
          </w:tcPr>
          <w:p>
            <w:pPr>
              <w:jc w:val="right"/>
              <w:ind w:right="600"/>
              <w:spacing w:after="0" w:line="169" w:lineRule="exact"/>
              <w:rPr>
                <w:sz w:val="20"/>
                <w:szCs w:val="20"/>
                <w:color w:val="auto"/>
              </w:rPr>
            </w:pPr>
            <w:r>
              <w:rPr>
                <w:rFonts w:ascii="Times New Roman" w:cs="Times New Roman" w:eastAsia="Times New Roman" w:hAnsi="Times New Roman"/>
                <w:sz w:val="18"/>
                <w:szCs w:val="18"/>
                <w:color w:val="0000FF"/>
                <w:w w:val="98"/>
              </w:rPr>
              <w:t>11,250,000</w:t>
            </w:r>
          </w:p>
        </w:tc>
        <w:tc>
          <w:tcPr>
            <w:tcW w:w="0" w:type="dxa"/>
            <w:vAlign w:val="bottom"/>
          </w:tcPr>
          <w:p>
            <w:pPr>
              <w:spacing w:after="0"/>
              <w:rPr>
                <w:sz w:val="1"/>
                <w:szCs w:val="1"/>
                <w:color w:val="auto"/>
              </w:rPr>
            </w:pPr>
          </w:p>
        </w:tc>
      </w:tr>
      <w:tr>
        <w:trPr>
          <w:trHeight w:val="20"/>
        </w:trPr>
        <w:tc>
          <w:tcPr>
            <w:tcW w:w="680" w:type="dxa"/>
            <w:vAlign w:val="bottom"/>
            <w:tcBorders>
              <w:left w:val="single" w:sz="8" w:color="010101"/>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140" w:type="dxa"/>
            <w:vAlign w:val="bottom"/>
            <w:tcBorders>
              <w:bottom w:val="single" w:sz="8" w:color="010101"/>
            </w:tcBorders>
          </w:tcPr>
          <w:p>
            <w:pPr>
              <w:spacing w:after="0" w:line="20" w:lineRule="exact"/>
              <w:rPr>
                <w:sz w:val="1"/>
                <w:szCs w:val="1"/>
                <w:color w:val="auto"/>
              </w:rPr>
            </w:pPr>
          </w:p>
        </w:tc>
        <w:tc>
          <w:tcPr>
            <w:tcW w:w="60" w:type="dxa"/>
            <w:vAlign w:val="bottom"/>
            <w:tcBorders>
              <w:bottom w:val="single" w:sz="8" w:color="010101"/>
            </w:tcBorders>
          </w:tcPr>
          <w:p>
            <w:pPr>
              <w:spacing w:after="0" w:line="20" w:lineRule="exact"/>
              <w:rPr>
                <w:sz w:val="1"/>
                <w:szCs w:val="1"/>
                <w:color w:val="auto"/>
              </w:rPr>
            </w:pPr>
          </w:p>
        </w:tc>
        <w:tc>
          <w:tcPr>
            <w:tcW w:w="1000" w:type="dxa"/>
            <w:vAlign w:val="bottom"/>
            <w:tcBorders>
              <w:bottom w:val="single" w:sz="8" w:color="010101"/>
            </w:tcBorders>
          </w:tcPr>
          <w:p>
            <w:pPr>
              <w:spacing w:after="0" w:line="20" w:lineRule="exact"/>
              <w:rPr>
                <w:sz w:val="1"/>
                <w:szCs w:val="1"/>
                <w:color w:val="auto"/>
              </w:rPr>
            </w:pPr>
          </w:p>
        </w:tc>
        <w:tc>
          <w:tcPr>
            <w:tcW w:w="80" w:type="dxa"/>
            <w:vAlign w:val="bottom"/>
            <w:tcBorders>
              <w:bottom w:val="single" w:sz="8" w:color="010101"/>
            </w:tcBorders>
          </w:tcPr>
          <w:p>
            <w:pPr>
              <w:spacing w:after="0" w:line="20" w:lineRule="exact"/>
              <w:rPr>
                <w:sz w:val="1"/>
                <w:szCs w:val="1"/>
                <w:color w:val="auto"/>
              </w:rPr>
            </w:pPr>
          </w:p>
        </w:tc>
        <w:tc>
          <w:tcPr>
            <w:tcW w:w="140" w:type="dxa"/>
            <w:vAlign w:val="bottom"/>
            <w:tcBorders>
              <w:bottom w:val="single" w:sz="8" w:color="010101"/>
            </w:tcBorders>
          </w:tcPr>
          <w:p>
            <w:pPr>
              <w:spacing w:after="0" w:line="20" w:lineRule="exact"/>
              <w:rPr>
                <w:sz w:val="1"/>
                <w:szCs w:val="1"/>
                <w:color w:val="auto"/>
              </w:rPr>
            </w:pPr>
          </w:p>
        </w:tc>
        <w:tc>
          <w:tcPr>
            <w:tcW w:w="700" w:type="dxa"/>
            <w:vAlign w:val="bottom"/>
            <w:tcBorders>
              <w:bottom w:val="single" w:sz="8" w:color="010101"/>
              <w:right w:val="single" w:sz="8" w:color="010101"/>
            </w:tcBorders>
          </w:tcPr>
          <w:p>
            <w:pPr>
              <w:spacing w:after="0" w:line="20" w:lineRule="exact"/>
              <w:rPr>
                <w:sz w:val="1"/>
                <w:szCs w:val="1"/>
                <w:color w:val="auto"/>
              </w:rPr>
            </w:pPr>
          </w:p>
        </w:tc>
        <w:tc>
          <w:tcPr>
            <w:tcW w:w="660" w:type="dxa"/>
            <w:vAlign w:val="bottom"/>
            <w:tcBorders>
              <w:bottom w:val="single" w:sz="8" w:color="010101"/>
            </w:tcBorders>
          </w:tcPr>
          <w:p>
            <w:pPr>
              <w:spacing w:after="0" w:line="20" w:lineRule="exact"/>
              <w:rPr>
                <w:sz w:val="1"/>
                <w:szCs w:val="1"/>
                <w:color w:val="auto"/>
              </w:rPr>
            </w:pPr>
          </w:p>
        </w:tc>
        <w:tc>
          <w:tcPr>
            <w:tcW w:w="32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280" w:type="dxa"/>
            <w:vAlign w:val="bottom"/>
            <w:tcBorders>
              <w:bottom w:val="single" w:sz="8" w:color="010101"/>
            </w:tcBorders>
          </w:tcPr>
          <w:p>
            <w:pPr>
              <w:spacing w:after="0" w:line="20" w:lineRule="exact"/>
              <w:rPr>
                <w:sz w:val="1"/>
                <w:szCs w:val="1"/>
                <w:color w:val="auto"/>
              </w:rPr>
            </w:pPr>
          </w:p>
        </w:tc>
        <w:tc>
          <w:tcPr>
            <w:tcW w:w="80" w:type="dxa"/>
            <w:vAlign w:val="bottom"/>
            <w:tcBorders>
              <w:bottom w:val="single" w:sz="8" w:color="010101"/>
            </w:tcBorders>
          </w:tcPr>
          <w:p>
            <w:pPr>
              <w:spacing w:after="0" w:line="20" w:lineRule="exact"/>
              <w:rPr>
                <w:sz w:val="1"/>
                <w:szCs w:val="1"/>
                <w:color w:val="auto"/>
              </w:rPr>
            </w:pPr>
          </w:p>
        </w:tc>
        <w:tc>
          <w:tcPr>
            <w:tcW w:w="100" w:type="dxa"/>
            <w:vAlign w:val="bottom"/>
            <w:tcBorders>
              <w:top w:val="single" w:sz="8" w:color="0000FF"/>
              <w:bottom w:val="single" w:sz="8" w:color="010101"/>
            </w:tcBorders>
          </w:tcPr>
          <w:p>
            <w:pPr>
              <w:spacing w:after="0" w:line="20" w:lineRule="exact"/>
              <w:rPr>
                <w:sz w:val="1"/>
                <w:szCs w:val="1"/>
                <w:color w:val="auto"/>
              </w:rPr>
            </w:pPr>
          </w:p>
        </w:tc>
        <w:tc>
          <w:tcPr>
            <w:tcW w:w="260" w:type="dxa"/>
            <w:vAlign w:val="bottom"/>
            <w:tcBorders>
              <w:top w:val="single" w:sz="8" w:color="0000FF"/>
              <w:bottom w:val="single" w:sz="8" w:color="010101"/>
            </w:tcBorders>
          </w:tcPr>
          <w:p>
            <w:pPr>
              <w:spacing w:after="0" w:line="20" w:lineRule="exact"/>
              <w:rPr>
                <w:sz w:val="1"/>
                <w:szCs w:val="1"/>
                <w:color w:val="auto"/>
              </w:rPr>
            </w:pPr>
          </w:p>
        </w:tc>
        <w:tc>
          <w:tcPr>
            <w:tcW w:w="60" w:type="dxa"/>
            <w:vAlign w:val="bottom"/>
            <w:tcBorders>
              <w:top w:val="single" w:sz="8" w:color="0000FF"/>
              <w:bottom w:val="single" w:sz="8" w:color="010101"/>
            </w:tcBorders>
          </w:tcPr>
          <w:p>
            <w:pPr>
              <w:spacing w:after="0" w:line="20" w:lineRule="exact"/>
              <w:rPr>
                <w:sz w:val="1"/>
                <w:szCs w:val="1"/>
                <w:color w:val="auto"/>
              </w:rPr>
            </w:pPr>
          </w:p>
        </w:tc>
        <w:tc>
          <w:tcPr>
            <w:tcW w:w="400" w:type="dxa"/>
            <w:vAlign w:val="bottom"/>
            <w:tcBorders>
              <w:top w:val="single" w:sz="8" w:color="0000FF"/>
              <w:bottom w:val="single" w:sz="8" w:color="010101"/>
            </w:tcBorders>
          </w:tcPr>
          <w:p>
            <w:pPr>
              <w:spacing w:after="0" w:line="20" w:lineRule="exact"/>
              <w:rPr>
                <w:sz w:val="1"/>
                <w:szCs w:val="1"/>
                <w:color w:val="auto"/>
              </w:rPr>
            </w:pPr>
          </w:p>
        </w:tc>
        <w:tc>
          <w:tcPr>
            <w:tcW w:w="60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tcBorders>
              <w:left w:val="single" w:sz="8" w:color="010101"/>
              <w:bottom w:val="single" w:sz="8" w:color="010101"/>
            </w:tcBorders>
          </w:tcPr>
          <w:p>
            <w:pPr>
              <w:spacing w:after="0"/>
              <w:rPr>
                <w:sz w:val="18"/>
                <w:szCs w:val="18"/>
                <w:color w:val="auto"/>
              </w:rPr>
            </w:pPr>
          </w:p>
        </w:tc>
        <w:tc>
          <w:tcPr>
            <w:tcW w:w="20" w:type="dxa"/>
            <w:vAlign w:val="bottom"/>
            <w:tcBorders>
              <w:bottom w:val="single" w:sz="8" w:color="010101"/>
            </w:tcBorders>
          </w:tcPr>
          <w:p>
            <w:pPr>
              <w:spacing w:after="0"/>
              <w:rPr>
                <w:sz w:val="18"/>
                <w:szCs w:val="18"/>
                <w:color w:val="auto"/>
              </w:rPr>
            </w:pPr>
          </w:p>
        </w:tc>
        <w:tc>
          <w:tcPr>
            <w:tcW w:w="140" w:type="dxa"/>
            <w:vAlign w:val="bottom"/>
            <w:tcBorders>
              <w:bottom w:val="single" w:sz="8" w:color="010101"/>
            </w:tcBorders>
          </w:tcPr>
          <w:p>
            <w:pPr>
              <w:spacing w:after="0"/>
              <w:rPr>
                <w:sz w:val="18"/>
                <w:szCs w:val="18"/>
                <w:color w:val="auto"/>
              </w:rPr>
            </w:pPr>
          </w:p>
        </w:tc>
        <w:tc>
          <w:tcPr>
            <w:tcW w:w="1980" w:type="dxa"/>
            <w:vAlign w:val="bottom"/>
            <w:tcBorders>
              <w:bottom w:val="single" w:sz="8" w:color="010101"/>
              <w:right w:val="single" w:sz="8" w:color="010101"/>
            </w:tcBorders>
            <w:gridSpan w:val="5"/>
          </w:tcPr>
          <w:p>
            <w:pPr>
              <w:jc w:val="center"/>
              <w:ind w:right="860"/>
              <w:spacing w:after="0"/>
              <w:rPr>
                <w:sz w:val="20"/>
                <w:szCs w:val="20"/>
                <w:color w:val="auto"/>
              </w:rPr>
            </w:pPr>
            <w:r>
              <w:rPr>
                <w:rFonts w:ascii="Times New Roman" w:cs="Times New Roman" w:eastAsia="Times New Roman" w:hAnsi="Times New Roman"/>
                <w:sz w:val="18"/>
                <w:szCs w:val="18"/>
                <w:color w:val="auto"/>
                <w:w w:val="99"/>
              </w:rPr>
              <w:t>June 30, 2026</w:t>
            </w:r>
          </w:p>
        </w:tc>
        <w:tc>
          <w:tcPr>
            <w:tcW w:w="1020" w:type="dxa"/>
            <w:vAlign w:val="bottom"/>
            <w:tcBorders>
              <w:bottom w:val="single" w:sz="8" w:color="E6E6F9"/>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E6E6F9"/>
            </w:tcBorders>
            <w:gridSpan w:val="4"/>
          </w:tcPr>
          <w:p>
            <w:pPr>
              <w:jc w:val="center"/>
              <w:spacing w:after="0"/>
              <w:rPr>
                <w:sz w:val="20"/>
                <w:szCs w:val="20"/>
                <w:color w:val="auto"/>
              </w:rPr>
            </w:pPr>
            <w:r>
              <w:rPr>
                <w:rFonts w:ascii="Times New Roman" w:cs="Times New Roman" w:eastAsia="Times New Roman" w:hAnsi="Times New Roman"/>
                <w:sz w:val="18"/>
                <w:szCs w:val="18"/>
                <w:color w:val="FF0000"/>
                <w:strike w:val="1"/>
                <w:w w:val="99"/>
              </w:rPr>
              <w:t>3,750,000</w:t>
            </w:r>
          </w:p>
        </w:tc>
        <w:tc>
          <w:tcPr>
            <w:tcW w:w="460" w:type="dxa"/>
            <w:vAlign w:val="bottom"/>
            <w:tcBorders>
              <w:bottom w:val="single" w:sz="8" w:color="E6E6F9"/>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0000FF"/>
                <w:w w:val="88"/>
              </w:rPr>
              <w:t>0</w:t>
            </w:r>
          </w:p>
        </w:tc>
        <w:tc>
          <w:tcPr>
            <w:tcW w:w="600" w:type="dxa"/>
            <w:vAlign w:val="bottom"/>
            <w:tcBorders>
              <w:bottom w:val="single" w:sz="8" w:color="E6E6F9"/>
              <w:right w:val="single" w:sz="8" w:color="010101"/>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20" w:type="dxa"/>
            <w:vAlign w:val="bottom"/>
            <w:tcBorders>
              <w:left w:val="single" w:sz="8" w:color="010101"/>
              <w:bottom w:val="single" w:sz="8" w:color="010101"/>
              <w:right w:val="single" w:sz="8" w:color="010101"/>
            </w:tcBorders>
            <w:gridSpan w:val="8"/>
            <w:shd w:val="clear" w:color="auto" w:fill="E6E6F9"/>
          </w:tcPr>
          <w:p>
            <w:pPr>
              <w:jc w:val="center"/>
              <w:ind w:right="20"/>
              <w:spacing w:after="0" w:line="142" w:lineRule="exact"/>
              <w:rPr>
                <w:sz w:val="20"/>
                <w:szCs w:val="20"/>
                <w:color w:val="auto"/>
              </w:rPr>
            </w:pPr>
            <w:r>
              <w:rPr>
                <w:rFonts w:ascii="Times New Roman" w:cs="Times New Roman" w:eastAsia="Times New Roman" w:hAnsi="Times New Roman"/>
                <w:sz w:val="16"/>
                <w:szCs w:val="16"/>
                <w:color w:val="0000FF"/>
              </w:rPr>
              <w:t>September 30, 2026</w:t>
            </w:r>
          </w:p>
        </w:tc>
        <w:tc>
          <w:tcPr>
            <w:tcW w:w="1740" w:type="dxa"/>
            <w:vAlign w:val="bottom"/>
            <w:tcBorders>
              <w:bottom w:val="single" w:sz="8" w:color="010101"/>
            </w:tcBorders>
            <w:gridSpan w:val="7"/>
            <w:shd w:val="clear" w:color="auto" w:fill="E6E6F9"/>
          </w:tcPr>
          <w:p>
            <w:pPr>
              <w:jc w:val="center"/>
              <w:ind w:left="951"/>
              <w:spacing w:after="0" w:line="136" w:lineRule="exact"/>
              <w:rPr>
                <w:sz w:val="20"/>
                <w:szCs w:val="20"/>
                <w:color w:val="auto"/>
              </w:rPr>
            </w:pPr>
            <w:r>
              <w:rPr>
                <w:rFonts w:ascii="Times New Roman" w:cs="Times New Roman" w:eastAsia="Times New Roman" w:hAnsi="Times New Roman"/>
                <w:sz w:val="15"/>
                <w:szCs w:val="15"/>
                <w:u w:val="single" w:color="auto"/>
                <w:color w:val="0000FF"/>
              </w:rPr>
              <w:t>$</w:t>
            </w:r>
            <w:r>
              <w:rPr>
                <w:rFonts w:ascii="Times New Roman" w:cs="Times New Roman" w:eastAsia="Times New Roman" w:hAnsi="Times New Roman"/>
                <w:sz w:val="15"/>
                <w:szCs w:val="15"/>
                <w:color w:val="0000FF"/>
              </w:rPr>
              <w:t>0</w:t>
            </w:r>
          </w:p>
        </w:tc>
        <w:tc>
          <w:tcPr>
            <w:tcW w:w="60" w:type="dxa"/>
            <w:vAlign w:val="bottom"/>
            <w:tcBorders>
              <w:bottom w:val="single" w:sz="8" w:color="010101"/>
            </w:tcBorders>
            <w:shd w:val="clear" w:color="auto" w:fill="E6E6F9"/>
          </w:tcPr>
          <w:p>
            <w:pPr>
              <w:spacing w:after="0"/>
              <w:rPr>
                <w:sz w:val="20"/>
                <w:szCs w:val="20"/>
                <w:color w:val="auto"/>
              </w:rPr>
            </w:pPr>
          </w:p>
        </w:tc>
        <w:tc>
          <w:tcPr>
            <w:tcW w:w="400" w:type="dxa"/>
            <w:vAlign w:val="bottom"/>
            <w:tcBorders>
              <w:bottom w:val="single" w:sz="8" w:color="010101"/>
            </w:tcBorders>
            <w:shd w:val="clear" w:color="auto" w:fill="E6E6F9"/>
          </w:tcPr>
          <w:p>
            <w:pPr>
              <w:spacing w:after="0"/>
              <w:rPr>
                <w:sz w:val="20"/>
                <w:szCs w:val="20"/>
                <w:color w:val="auto"/>
              </w:rPr>
            </w:pPr>
          </w:p>
        </w:tc>
        <w:tc>
          <w:tcPr>
            <w:tcW w:w="600" w:type="dxa"/>
            <w:vAlign w:val="bottom"/>
            <w:tcBorders>
              <w:bottom w:val="single" w:sz="8" w:color="010101"/>
              <w:right w:val="single" w:sz="8" w:color="010101"/>
            </w:tcBorders>
            <w:shd w:val="clear" w:color="auto" w:fill="E6E6F9"/>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80" w:type="dxa"/>
            <w:vAlign w:val="bottom"/>
            <w:tcBorders>
              <w:left w:val="single" w:sz="8" w:color="010101"/>
              <w:bottom w:val="single" w:sz="8" w:color="010101"/>
            </w:tcBorders>
            <w:shd w:val="clear" w:color="auto" w:fill="E6E6F9"/>
          </w:tcPr>
          <w:p>
            <w:pPr>
              <w:spacing w:after="0"/>
              <w:rPr>
                <w:sz w:val="15"/>
                <w:szCs w:val="15"/>
                <w:color w:val="auto"/>
              </w:rPr>
            </w:pPr>
          </w:p>
        </w:tc>
        <w:tc>
          <w:tcPr>
            <w:tcW w:w="2140" w:type="dxa"/>
            <w:vAlign w:val="bottom"/>
            <w:tcBorders>
              <w:bottom w:val="single" w:sz="8" w:color="010101"/>
              <w:right w:val="single" w:sz="8" w:color="010101"/>
            </w:tcBorders>
            <w:gridSpan w:val="7"/>
            <w:shd w:val="clear" w:color="auto" w:fill="E6E6F9"/>
          </w:tcPr>
          <w:p>
            <w:pPr>
              <w:jc w:val="center"/>
              <w:ind w:right="680"/>
              <w:spacing w:after="0" w:line="143" w:lineRule="exact"/>
              <w:rPr>
                <w:sz w:val="20"/>
                <w:szCs w:val="20"/>
                <w:color w:val="auto"/>
              </w:rPr>
            </w:pPr>
            <w:r>
              <w:rPr>
                <w:rFonts w:ascii="Times New Roman" w:cs="Times New Roman" w:eastAsia="Times New Roman" w:hAnsi="Times New Roman"/>
                <w:sz w:val="16"/>
                <w:szCs w:val="16"/>
                <w:color w:val="0000FF"/>
              </w:rPr>
              <w:t>December 31, 2026</w:t>
            </w:r>
          </w:p>
        </w:tc>
        <w:tc>
          <w:tcPr>
            <w:tcW w:w="2200" w:type="dxa"/>
            <w:vAlign w:val="bottom"/>
            <w:tcBorders>
              <w:bottom w:val="single" w:sz="8" w:color="010101"/>
            </w:tcBorders>
            <w:gridSpan w:val="9"/>
            <w:shd w:val="clear" w:color="auto" w:fill="E6E6F9"/>
          </w:tcPr>
          <w:p>
            <w:pPr>
              <w:jc w:val="center"/>
              <w:ind w:left="491"/>
              <w:spacing w:after="0" w:line="143" w:lineRule="exact"/>
              <w:rPr>
                <w:sz w:val="20"/>
                <w:szCs w:val="20"/>
                <w:color w:val="auto"/>
              </w:rPr>
            </w:pP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3,750,000</w:t>
            </w:r>
          </w:p>
        </w:tc>
        <w:tc>
          <w:tcPr>
            <w:tcW w:w="600" w:type="dxa"/>
            <w:vAlign w:val="bottom"/>
            <w:tcBorders>
              <w:bottom w:val="single" w:sz="8" w:color="010101"/>
              <w:right w:val="single" w:sz="8" w:color="010101"/>
            </w:tcBorders>
            <w:shd w:val="clear" w:color="auto" w:fill="E6E6F9"/>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0" w:type="dxa"/>
            <w:vAlign w:val="bottom"/>
            <w:tcBorders>
              <w:left w:val="single" w:sz="8" w:color="010101"/>
              <w:bottom w:val="single" w:sz="8" w:color="010101"/>
            </w:tcBorders>
            <w:shd w:val="clear" w:color="auto" w:fill="E6E6F9"/>
          </w:tcPr>
          <w:p>
            <w:pPr>
              <w:spacing w:after="0"/>
              <w:rPr>
                <w:sz w:val="18"/>
                <w:szCs w:val="18"/>
                <w:color w:val="auto"/>
              </w:rPr>
            </w:pPr>
          </w:p>
        </w:tc>
        <w:tc>
          <w:tcPr>
            <w:tcW w:w="20" w:type="dxa"/>
            <w:vAlign w:val="bottom"/>
            <w:tcBorders>
              <w:bottom w:val="single" w:sz="8" w:color="010101"/>
            </w:tcBorders>
            <w:shd w:val="clear" w:color="auto" w:fill="E6E6F9"/>
          </w:tcPr>
          <w:p>
            <w:pPr>
              <w:spacing w:after="0"/>
              <w:rPr>
                <w:sz w:val="18"/>
                <w:szCs w:val="18"/>
                <w:color w:val="auto"/>
              </w:rPr>
            </w:pPr>
          </w:p>
        </w:tc>
        <w:tc>
          <w:tcPr>
            <w:tcW w:w="2120" w:type="dxa"/>
            <w:vAlign w:val="bottom"/>
            <w:tcBorders>
              <w:bottom w:val="single" w:sz="8" w:color="010101"/>
              <w:right w:val="single" w:sz="8" w:color="010101"/>
            </w:tcBorders>
            <w:gridSpan w:val="6"/>
            <w:shd w:val="clear" w:color="auto" w:fill="E6E6F9"/>
          </w:tcPr>
          <w:p>
            <w:pPr>
              <w:jc w:val="center"/>
              <w:ind w:right="700"/>
              <w:spacing w:after="0" w:line="170" w:lineRule="exact"/>
              <w:rPr>
                <w:sz w:val="20"/>
                <w:szCs w:val="20"/>
                <w:color w:val="auto"/>
              </w:rPr>
            </w:pPr>
            <w:r>
              <w:rPr>
                <w:rFonts w:ascii="Times New Roman" w:cs="Times New Roman" w:eastAsia="Times New Roman" w:hAnsi="Times New Roman"/>
                <w:sz w:val="18"/>
                <w:szCs w:val="18"/>
                <w:color w:val="0000FF"/>
                <w:w w:val="99"/>
              </w:rPr>
              <w:t>March 31, 2027</w:t>
            </w:r>
          </w:p>
        </w:tc>
        <w:tc>
          <w:tcPr>
            <w:tcW w:w="2200" w:type="dxa"/>
            <w:vAlign w:val="bottom"/>
            <w:tcBorders>
              <w:bottom w:val="single" w:sz="8" w:color="010101"/>
            </w:tcBorders>
            <w:gridSpan w:val="9"/>
            <w:shd w:val="clear" w:color="auto" w:fill="E6E6F9"/>
          </w:tcPr>
          <w:p>
            <w:pPr>
              <w:jc w:val="center"/>
              <w:ind w:left="491"/>
              <w:spacing w:after="0" w:line="170"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3,750,000</w:t>
            </w:r>
          </w:p>
        </w:tc>
        <w:tc>
          <w:tcPr>
            <w:tcW w:w="600" w:type="dxa"/>
            <w:vAlign w:val="bottom"/>
            <w:tcBorders>
              <w:bottom w:val="single" w:sz="8" w:color="010101"/>
              <w:right w:val="single" w:sz="8" w:color="010101"/>
            </w:tcBorders>
            <w:shd w:val="clear" w:color="auto" w:fill="E6E6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left w:val="single" w:sz="8" w:color="010101"/>
              <w:bottom w:val="single" w:sz="8" w:color="010101"/>
            </w:tcBorders>
            <w:shd w:val="clear" w:color="auto" w:fill="E6E6F9"/>
          </w:tcPr>
          <w:p>
            <w:pPr>
              <w:spacing w:after="0"/>
              <w:rPr>
                <w:sz w:val="18"/>
                <w:szCs w:val="18"/>
                <w:color w:val="auto"/>
              </w:rPr>
            </w:pPr>
          </w:p>
        </w:tc>
        <w:tc>
          <w:tcPr>
            <w:tcW w:w="20" w:type="dxa"/>
            <w:vAlign w:val="bottom"/>
            <w:tcBorders>
              <w:bottom w:val="single" w:sz="8" w:color="010101"/>
            </w:tcBorders>
            <w:shd w:val="clear" w:color="auto" w:fill="E6E6F9"/>
          </w:tcPr>
          <w:p>
            <w:pPr>
              <w:spacing w:after="0"/>
              <w:rPr>
                <w:sz w:val="18"/>
                <w:szCs w:val="18"/>
                <w:color w:val="auto"/>
              </w:rPr>
            </w:pPr>
          </w:p>
        </w:tc>
        <w:tc>
          <w:tcPr>
            <w:tcW w:w="140" w:type="dxa"/>
            <w:vAlign w:val="bottom"/>
            <w:tcBorders>
              <w:bottom w:val="single" w:sz="8" w:color="010101"/>
            </w:tcBorders>
            <w:shd w:val="clear" w:color="auto" w:fill="E6E6F9"/>
          </w:tcPr>
          <w:p>
            <w:pPr>
              <w:spacing w:after="0"/>
              <w:rPr>
                <w:sz w:val="18"/>
                <w:szCs w:val="18"/>
                <w:color w:val="auto"/>
              </w:rPr>
            </w:pPr>
          </w:p>
        </w:tc>
        <w:tc>
          <w:tcPr>
            <w:tcW w:w="1980" w:type="dxa"/>
            <w:vAlign w:val="bottom"/>
            <w:tcBorders>
              <w:bottom w:val="single" w:sz="8" w:color="010101"/>
              <w:right w:val="single" w:sz="8" w:color="010101"/>
            </w:tcBorders>
            <w:gridSpan w:val="5"/>
            <w:shd w:val="clear" w:color="auto" w:fill="E6E6F9"/>
          </w:tcPr>
          <w:p>
            <w:pPr>
              <w:jc w:val="center"/>
              <w:ind w:right="860"/>
              <w:spacing w:after="0" w:line="170" w:lineRule="exact"/>
              <w:rPr>
                <w:sz w:val="20"/>
                <w:szCs w:val="20"/>
                <w:color w:val="auto"/>
              </w:rPr>
            </w:pPr>
            <w:r>
              <w:rPr>
                <w:rFonts w:ascii="Times New Roman" w:cs="Times New Roman" w:eastAsia="Times New Roman" w:hAnsi="Times New Roman"/>
                <w:sz w:val="18"/>
                <w:szCs w:val="18"/>
                <w:color w:val="0000FF"/>
                <w:w w:val="99"/>
              </w:rPr>
              <w:t>June 30, 2027</w:t>
            </w:r>
          </w:p>
        </w:tc>
        <w:tc>
          <w:tcPr>
            <w:tcW w:w="2200" w:type="dxa"/>
            <w:vAlign w:val="bottom"/>
            <w:tcBorders>
              <w:bottom w:val="single" w:sz="8" w:color="010101"/>
            </w:tcBorders>
            <w:gridSpan w:val="9"/>
            <w:shd w:val="clear" w:color="auto" w:fill="E6E6F9"/>
          </w:tcPr>
          <w:p>
            <w:pPr>
              <w:jc w:val="center"/>
              <w:ind w:left="491"/>
              <w:spacing w:after="0" w:line="170"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3,750,000</w:t>
            </w:r>
          </w:p>
        </w:tc>
        <w:tc>
          <w:tcPr>
            <w:tcW w:w="600" w:type="dxa"/>
            <w:vAlign w:val="bottom"/>
            <w:tcBorders>
              <w:bottom w:val="single" w:sz="8" w:color="010101"/>
              <w:right w:val="single" w:sz="8" w:color="010101"/>
            </w:tcBorders>
            <w:shd w:val="clear" w:color="auto" w:fill="E6E6F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left w:val="single" w:sz="8" w:color="010101"/>
              <w:bottom w:val="single" w:sz="8" w:color="010101"/>
            </w:tcBorders>
          </w:tcPr>
          <w:p>
            <w:pPr>
              <w:spacing w:after="0"/>
              <w:rPr>
                <w:sz w:val="18"/>
                <w:szCs w:val="18"/>
                <w:color w:val="auto"/>
              </w:rPr>
            </w:pPr>
          </w:p>
        </w:tc>
        <w:tc>
          <w:tcPr>
            <w:tcW w:w="20" w:type="dxa"/>
            <w:vAlign w:val="bottom"/>
            <w:tcBorders>
              <w:bottom w:val="single" w:sz="8" w:color="010101"/>
            </w:tcBorders>
          </w:tcPr>
          <w:p>
            <w:pPr>
              <w:spacing w:after="0"/>
              <w:rPr>
                <w:sz w:val="18"/>
                <w:szCs w:val="18"/>
                <w:color w:val="auto"/>
              </w:rPr>
            </w:pPr>
          </w:p>
        </w:tc>
        <w:tc>
          <w:tcPr>
            <w:tcW w:w="140" w:type="dxa"/>
            <w:vAlign w:val="bottom"/>
            <w:tcBorders>
              <w:bottom w:val="single" w:sz="8" w:color="010101"/>
            </w:tcBorders>
          </w:tcPr>
          <w:p>
            <w:pPr>
              <w:spacing w:after="0"/>
              <w:rPr>
                <w:sz w:val="18"/>
                <w:szCs w:val="18"/>
                <w:color w:val="auto"/>
              </w:rPr>
            </w:pPr>
          </w:p>
        </w:tc>
        <w:tc>
          <w:tcPr>
            <w:tcW w:w="1980" w:type="dxa"/>
            <w:vAlign w:val="bottom"/>
            <w:tcBorders>
              <w:bottom w:val="single" w:sz="8" w:color="010101"/>
              <w:right w:val="single" w:sz="8" w:color="010101"/>
            </w:tcBorders>
            <w:gridSpan w:val="5"/>
          </w:tcPr>
          <w:p>
            <w:pPr>
              <w:jc w:val="center"/>
              <w:ind w:right="840"/>
              <w:spacing w:after="0"/>
              <w:rPr>
                <w:sz w:val="20"/>
                <w:szCs w:val="20"/>
                <w:color w:val="auto"/>
              </w:rPr>
            </w:pPr>
            <w:r>
              <w:rPr>
                <w:rFonts w:ascii="Times New Roman" w:cs="Times New Roman" w:eastAsia="Times New Roman" w:hAnsi="Times New Roman"/>
                <w:sz w:val="18"/>
                <w:szCs w:val="18"/>
                <w:color w:val="auto"/>
              </w:rPr>
              <w:t>Maturity Date</w:t>
            </w:r>
          </w:p>
        </w:tc>
        <w:tc>
          <w:tcPr>
            <w:tcW w:w="2800" w:type="dxa"/>
            <w:vAlign w:val="bottom"/>
            <w:tcBorders>
              <w:bottom w:val="single" w:sz="8" w:color="010101"/>
              <w:right w:val="single" w:sz="8" w:color="010101"/>
            </w:tcBorders>
            <w:gridSpan w:val="10"/>
          </w:tcPr>
          <w:p>
            <w:pPr>
              <w:jc w:val="center"/>
              <w:ind w:right="40"/>
              <w:spacing w:after="0"/>
              <w:rPr>
                <w:sz w:val="20"/>
                <w:szCs w:val="20"/>
                <w:color w:val="auto"/>
              </w:rPr>
            </w:pPr>
            <w:r>
              <w:rPr>
                <w:rFonts w:ascii="Times New Roman" w:cs="Times New Roman" w:eastAsia="Times New Roman" w:hAnsi="Times New Roman"/>
                <w:sz w:val="18"/>
                <w:szCs w:val="18"/>
                <w:color w:val="auto"/>
                <w:w w:val="99"/>
              </w:rPr>
              <w:t>Outstanding Balance of Term Loans</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 the final principal repayment installment of the Term Loans shall be repaid on the Maturity Date for the Term Facility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shall be in an amount equal to the aggregate principal amount of all Term Loans outstanding on such date, (ii) if any principal repayment installment to be made by the Borrower (other than principal repayment installments on Term SOFR Loans) shall come due on a day other than a Business Day, such principal repayment installment shall be due on the next succeeding Business Day, and such extension of time shall be reflected in computing interest or fees, as the case may be and (iii) if any principal repayment installment to be made by the Borrower on a Term SOFR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Revolving Loans</w:t>
      </w:r>
      <w:r>
        <w:rPr>
          <w:rFonts w:ascii="Times New Roman" w:cs="Times New Roman" w:eastAsia="Times New Roman" w:hAnsi="Times New Roman"/>
          <w:sz w:val="18"/>
          <w:szCs w:val="18"/>
          <w:color w:val="auto"/>
        </w:rPr>
        <w:t>. The Borrower shall repay to the Revolving Lenders on the Maturity Date for the Revolving Facility the aggregate principal amount of all Revolving Loans outstanding on such date.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FF0000"/>
          <w:strike w:val="1"/>
        </w:rPr>
        <w:t>Swingline Loans</w:t>
      </w:r>
      <w:r>
        <w:rPr>
          <w:rFonts w:ascii="Times New Roman" w:cs="Times New Roman" w:eastAsia="Times New Roman" w:hAnsi="Times New Roman"/>
          <w:sz w:val="18"/>
          <w:szCs w:val="18"/>
          <w:color w:val="FF0000"/>
          <w:strike w:val="1"/>
        </w:rPr>
        <w:t>. The Borrower shall repay each Swingline Loan on the earlier to occur of (i) the date ten (10) Business Days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such Loan is made and (ii) the Maturity Date for the Revolving Facility.</w:t>
      </w:r>
      <w:r>
        <w:rPr>
          <w:rFonts w:ascii="Times New Roman" w:cs="Times New Roman" w:eastAsia="Times New Roman" w:hAnsi="Times New Roman"/>
          <w:sz w:val="18"/>
          <w:szCs w:val="18"/>
          <w:u w:val="single" w:color="auto"/>
          <w:color w:val="0000FF"/>
          <w:strike w:val="1"/>
        </w:rPr>
        <w:t>[Reserved.]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2.08.        </w:t>
      </w:r>
      <w:r>
        <w:rPr>
          <w:rFonts w:ascii="Times New Roman" w:cs="Times New Roman" w:eastAsia="Times New Roman" w:hAnsi="Times New Roman"/>
          <w:sz w:val="18"/>
          <w:szCs w:val="18"/>
          <w:color w:val="auto"/>
        </w:rPr>
        <w:t>Interest and Default Rate.</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at the election of the Borrower, (i) each Term SOFR Loan under a Facility shall bear interest on the outstanding principal amount thereof for each Interest Period from the applicable Borrowing date at a rate per annum equal to Term SOFR for such Interest Period plus the Applicable Rate for such Facility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(ii) each Base Rate Loan under a Facility shall bear interest on the outstanding principal amount thereof from the applicable Borrowing date at a rate per annum equal to the Base Rate plus the Applicable Rate for such Facility</w:t>
      </w:r>
      <w:r>
        <w:rPr>
          <w:rFonts w:ascii="Times New Roman" w:cs="Times New Roman" w:eastAsia="Times New Roman" w:hAnsi="Times New Roman"/>
          <w:sz w:val="18"/>
          <w:szCs w:val="18"/>
          <w:color w:val="FF0000"/>
          <w:strike w:val="1"/>
        </w:rPr>
        <w:t>; and (iii) each Swingline Loan shall bear interest on the outstanding principal amount thereof from the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Borrowing date at a rate per annum equal to the Base Rate plus the Applicable Rate for the Revolving Facility</w:t>
      </w:r>
      <w:r>
        <w:rPr>
          <w:rFonts w:ascii="Times New Roman" w:cs="Times New Roman" w:eastAsia="Times New Roman" w:hAnsi="Times New Roman"/>
          <w:sz w:val="18"/>
          <w:szCs w:val="18"/>
          <w:color w:val="000000"/>
        </w:rPr>
        <w:t>. To the extent that any calculation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of interest or any fee required to be paid under this Agreement shall be based on (or result in) a calculation that is less than zero, such calculation shall be deemed zero for purposes of this Agreement.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89" w:name="page90"/>
    <w:bookmarkEnd w:id="89"/>
    <w:p>
      <w:pPr>
        <w:ind w:left="6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6"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             If any amount (other than principal of any Loan) payable by the Borrower under any Loan Document is not paid when due (after giving effect to any applicable grace or cure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0"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(iii)            Upon the request of the Required Lenders, while any Event of Default exists (including a payment default), all outstanding Obligations (including Letter of Credit Fees) may accrue at a fluctuating interest rate per annum at all times equal to the Default Rate to the fullest extent permitted by Applicable Laws.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(iv)           Accrued and unpaid interest on past due amounts (including interest on past due interest) shall be due and payable upon</w:t>
      </w:r>
    </w:p>
    <w:p>
      <w:pPr>
        <w:spacing w:after="0" w:line="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demand.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Interest Payments</w:t>
      </w:r>
      <w:r>
        <w:rPr>
          <w:rFonts w:ascii="Times New Roman" w:cs="Times New Roman" w:eastAsia="Times New Roman" w:hAnsi="Times New Roman"/>
          <w:sz w:val="18"/>
          <w:szCs w:val="18"/>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2.09.       </w:t>
      </w:r>
      <w:r>
        <w:rPr>
          <w:rFonts w:ascii="Times New Roman" w:cs="Times New Roman" w:eastAsia="Times New Roman" w:hAnsi="Times New Roman"/>
          <w:sz w:val="18"/>
          <w:szCs w:val="18"/>
          <w:color w:val="auto"/>
        </w:rPr>
        <w:t>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addition to certain fees described in </w:t>
      </w:r>
      <w:r>
        <w:rPr>
          <w:rFonts w:ascii="Times New Roman" w:cs="Times New Roman" w:eastAsia="Times New Roman" w:hAnsi="Times New Roman"/>
          <w:sz w:val="18"/>
          <w:szCs w:val="18"/>
          <w:u w:val="single" w:color="auto"/>
          <w:color w:val="auto"/>
        </w:rPr>
        <w:t>clauses (m</w:t>
      </w:r>
      <w:r>
        <w:rPr>
          <w:rFonts w:ascii="Times New Roman" w:cs="Times New Roman" w:eastAsia="Times New Roman" w:hAnsi="Times New Roman"/>
          <w:sz w:val="18"/>
          <w:szCs w:val="18"/>
          <w:color w:val="auto"/>
        </w:rPr>
        <w:t xml:space="preserve">), (n) and (p)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Commitment Fee</w:t>
      </w:r>
      <w:r>
        <w:rPr>
          <w:rFonts w:ascii="Times New Roman" w:cs="Times New Roman" w:eastAsia="Times New Roman" w:hAnsi="Times New Roman"/>
          <w:sz w:val="18"/>
          <w:szCs w:val="18"/>
          <w:color w:val="auto"/>
        </w:rPr>
        <w:t xml:space="preserve">. The Borrower shall pay to the Administrative Agent for the account of each Revolving Lender in accordance with its Applicable Revolving Percentage, a commitment fee equal to the Applicable Rate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the actual daily amount by which the Revolving Facility exceeds the </w:t>
      </w:r>
      <w:r>
        <w:rPr>
          <w:rFonts w:ascii="Times New Roman" w:cs="Times New Roman" w:eastAsia="Times New Roman" w:hAnsi="Times New Roman"/>
          <w:sz w:val="18"/>
          <w:szCs w:val="18"/>
          <w:i w:val="1"/>
          <w:iCs w:val="1"/>
          <w:color w:val="auto"/>
        </w:rPr>
        <w:t>sum of</w:t>
      </w:r>
      <w:r>
        <w:rPr>
          <w:rFonts w:ascii="Times New Roman" w:cs="Times New Roman" w:eastAsia="Times New Roman" w:hAnsi="Times New Roman"/>
          <w:sz w:val="18"/>
          <w:szCs w:val="18"/>
          <w:color w:val="auto"/>
        </w:rPr>
        <w:t xml:space="preserve"> (i) the Outstanding Amount of Revolving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Outstanding Amount of L/C Obligations, subject to adjustment as provided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For the avoidance of doubt, the Outstanding Amount of Swingline Loans shall not be counted towards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considered usage of the Revolving Facility for purposes of determining the commitment fee.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commitment fee shall accrue at all times during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the Availability Period, including at any time during which one or more of the conditions in </w:t>
      </w:r>
      <w:r>
        <w:rPr>
          <w:rFonts w:ascii="Times New Roman" w:cs="Times New Roman" w:eastAsia="Times New Roman" w:hAnsi="Times New Roman"/>
          <w:sz w:val="18"/>
          <w:szCs w:val="18"/>
          <w:u w:val="single" w:color="auto"/>
          <w:color w:val="000000"/>
        </w:rPr>
        <w:t>Article IV</w:t>
      </w:r>
      <w:r>
        <w:rPr>
          <w:rFonts w:ascii="Times New Roman" w:cs="Times New Roman" w:eastAsia="Times New Roman" w:hAnsi="Times New Roman"/>
          <w:sz w:val="18"/>
          <w:szCs w:val="18"/>
          <w:color w:val="000000"/>
        </w:rPr>
        <w:t xml:space="preserve"> is not met, and shall be due and payable quarterly in arrears on the last Business Day of each March, June, September and December, commencing with the first such date to occur after the Closing Date, and on the last day of the Availability Period for the Revolving Facility. The commitment fee shall be calculated quarterly in arrears</w:t>
      </w:r>
      <w:r>
        <w:rPr>
          <w:rFonts w:ascii="Times New Roman" w:cs="Times New Roman" w:eastAsia="Times New Roman" w:hAnsi="Times New Roman"/>
          <w:sz w:val="18"/>
          <w:szCs w:val="18"/>
          <w:color w:val="FF0000"/>
          <w:strike w:val="1"/>
        </w:rPr>
        <w:t>, and if there is any change in the Applicable Rate during any quarter, the actual daily amount shall be computed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FF0000"/>
          <w:strike w:val="1"/>
        </w:rPr>
        <w:t>multiplied by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Applicable Rate separately for each period during such quarter that such Applicable Rate was in effect</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0" w:name="page91"/>
    <w:bookmarkEnd w:id="90"/>
    <w:p>
      <w:pPr>
        <w:ind w:left="64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(i)              The Borrower shall pay to the Administrative Agent and BofA Securities for its own account fees in the amounts and at the times specified in the Fee Letter. Such fees shall be fully earned when paid and shall not be refundable for any reason whatsoever.</w:t>
      </w:r>
    </w:p>
    <w:p>
      <w:pPr>
        <w:spacing w:after="0" w:line="162" w:lineRule="exact"/>
        <w:rPr>
          <w:sz w:val="20"/>
          <w:szCs w:val="20"/>
          <w:color w:val="auto"/>
        </w:rPr>
      </w:pPr>
    </w:p>
    <w:p>
      <w:pPr>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(ii)             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Sixth Amendment Fee</w:t>
      </w:r>
      <w:r>
        <w:rPr>
          <w:rFonts w:ascii="Times New Roman" w:cs="Times New Roman" w:eastAsia="Times New Roman" w:hAnsi="Times New Roman"/>
          <w:sz w:val="18"/>
          <w:szCs w:val="18"/>
          <w:color w:val="auto"/>
        </w:rPr>
        <w:t>. In connection with the Sixth Amendment, the Borrower shall pay to the Administrative Agent an amendment fee (the “</w:t>
      </w:r>
      <w:r>
        <w:rPr>
          <w:rFonts w:ascii="Times New Roman" w:cs="Times New Roman" w:eastAsia="Times New Roman" w:hAnsi="Times New Roman"/>
          <w:sz w:val="18"/>
          <w:szCs w:val="18"/>
          <w:u w:val="single" w:color="auto"/>
          <w:color w:val="auto"/>
        </w:rPr>
        <w:t>Sixth Amendment Fee</w:t>
      </w:r>
      <w:r>
        <w:rPr>
          <w:rFonts w:ascii="Times New Roman" w:cs="Times New Roman" w:eastAsia="Times New Roman" w:hAnsi="Times New Roman"/>
          <w:sz w:val="18"/>
          <w:szCs w:val="18"/>
          <w:color w:val="auto"/>
        </w:rPr>
        <w:t>”) in an amount equal to $136,375.00. The Sixth Amendment Fee shall be fully-earned, non-refundable, and due and payable as of the Sixth Amendment Effective Date. The Sixth Amendment Fee shall be distributed on a pro rata basis to each Lender (including Bank of America, N.A.) that delivers its executed signature page to the Sixth Amendment on or prior to 2:00 P.M. EST on the Sixth Amendment Effective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2.10.       </w:t>
      </w:r>
      <w:r>
        <w:rPr>
          <w:rFonts w:ascii="Times New Roman" w:cs="Times New Roman" w:eastAsia="Times New Roman" w:hAnsi="Times New Roman"/>
          <w:sz w:val="18"/>
          <w:szCs w:val="18"/>
          <w:color w:val="auto"/>
        </w:rPr>
        <w:t>Computation of Interest and Fees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Retroactive Adjustments of Applicable Rate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Computation of Interest and Fees</w:t>
      </w:r>
      <w:r>
        <w:rPr>
          <w:rFonts w:ascii="Times New Roman" w:cs="Times New Roman" w:eastAsia="Times New Roman" w:hAnsi="Times New Roman"/>
          <w:sz w:val="18"/>
          <w:szCs w:val="18"/>
          <w:color w:val="auto"/>
        </w:rPr>
        <w:t xml:space="preserve">. 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three hundred sixty (360) day year and actual days elapsed (which results in more fees or interest, as applicable, being paid than if computed on the basis of a 365 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(1) day. Each determination by the Administrative Agent of an interest rate or fee hereunder shall be conclusive and binding for all purposes, absent manifest error.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Financial Statement Adjustments or Restatements</w:t>
      </w:r>
      <w:r>
        <w:rPr>
          <w:rFonts w:ascii="Times New Roman" w:cs="Times New Roman" w:eastAsia="Times New Roman" w:hAnsi="Times New Roman"/>
          <w:sz w:val="18"/>
          <w:szCs w:val="18"/>
          <w:color w:val="auto"/>
        </w:rPr>
        <w:t xml:space="preserve">. If, as a result of any restatement of or other adjustment to the financial statements of the Borrower and its Subsidiaries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promptly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not limit the rights of the Administrative Agent, any Lender or the L/C Issuer, as the case may be, under any provision of this Agreement to payment of any Obligations hereunder at the Default Rate or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Borrower’s obligations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shall survive the termination of the Aggregate Commitments and the repayment of all other Obligations hereunder.</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color w:val="auto"/>
        </w:rPr>
        <w:t>      Evidence of Debt.</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Maintenance of Accounts</w:t>
      </w:r>
      <w:r>
        <w:rPr>
          <w:rFonts w:ascii="Times New Roman" w:cs="Times New Roman" w:eastAsia="Times New Roman" w:hAnsi="Times New Roman"/>
          <w:sz w:val="18"/>
          <w:szCs w:val="18"/>
          <w:color w:val="auto"/>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88"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Maintenance of Records</w:t>
      </w:r>
      <w:r>
        <w:rPr>
          <w:rFonts w:ascii="Times New Roman" w:cs="Times New Roman" w:eastAsia="Times New Roman" w:hAnsi="Times New Roman"/>
          <w:sz w:val="18"/>
          <w:szCs w:val="18"/>
          <w:color w:val="auto"/>
        </w:rPr>
        <w:t xml:space="preserve">. In addition to the accounts and records referred to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each Lender and the Administrative Agent shall maintain in accordance with its usual practice accounts or records evidencing the purchases and sales by such Lender of participations in Letters of Credit </w:t>
      </w:r>
      <w:r>
        <w:rPr>
          <w:rFonts w:ascii="Times New Roman" w:cs="Times New Roman" w:eastAsia="Times New Roman" w:hAnsi="Times New Roman"/>
          <w:sz w:val="18"/>
          <w:szCs w:val="18"/>
          <w:color w:val="FF0000"/>
          <w:strike w:val="1"/>
        </w:rPr>
        <w:t>and Swingline Loans</w:t>
      </w:r>
      <w:r>
        <w:rPr>
          <w:rFonts w:ascii="Times New Roman" w:cs="Times New Roman" w:eastAsia="Times New Roman" w:hAnsi="Times New Roman"/>
          <w:sz w:val="18"/>
          <w:szCs w:val="18"/>
          <w:color w:val="auto"/>
        </w:rPr>
        <w: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2.12.</w:t>
      </w:r>
      <w:r>
        <w:rPr>
          <w:rFonts w:ascii="Times New Roman" w:cs="Times New Roman" w:eastAsia="Times New Roman" w:hAnsi="Times New Roman"/>
          <w:sz w:val="18"/>
          <w:szCs w:val="18"/>
          <w:color w:val="auto"/>
        </w:rPr>
        <w:t>       Payments Generally; Administrative Agent’s Clawback.</w:t>
      </w:r>
    </w:p>
    <w:p>
      <w:pPr>
        <w:spacing w:after="0" w:line="229"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and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(b)           (i)    </w:t>
      </w:r>
      <w:r>
        <w:rPr>
          <w:rFonts w:ascii="Times New Roman" w:cs="Times New Roman" w:eastAsia="Times New Roman" w:hAnsi="Times New Roman"/>
          <w:sz w:val="18"/>
          <w:szCs w:val="18"/>
          <w:u w:val="single" w:color="auto"/>
          <w:color w:val="auto"/>
        </w:rPr>
        <w:t>  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93"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Payments by Borrower; Presumptions by Administrative Agent</w:t>
      </w:r>
      <w:r>
        <w:rPr>
          <w:rFonts w:ascii="Times New Roman" w:cs="Times New Roman" w:eastAsia="Times New Roman" w:hAnsi="Times New Roman"/>
          <w:sz w:val="18"/>
          <w:szCs w:val="18"/>
          <w:color w:val="auto"/>
        </w:rPr>
        <w:t>. Unless the Administrative Agent shall have received notice from the Borrower prior to the time at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Appropriate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or the Borrower with respect to any amount owing under this clause (b) shall be conclusive, absent manifest error.</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Obligations of Lenders Several</w:t>
      </w:r>
      <w:r>
        <w:rPr>
          <w:rFonts w:ascii="Times New Roman" w:cs="Times New Roman" w:eastAsia="Times New Roman" w:hAnsi="Times New Roman"/>
          <w:sz w:val="18"/>
          <w:szCs w:val="18"/>
          <w:color w:val="auto"/>
        </w:rPr>
        <w:t xml:space="preserve">. The obligations of the Lenders hereunder to make Term Loans and Revolving Loans, to fund participations in Letters of Credit and </w:t>
      </w:r>
      <w:r>
        <w:rPr>
          <w:rFonts w:ascii="Times New Roman" w:cs="Times New Roman" w:eastAsia="Times New Roman" w:hAnsi="Times New Roman"/>
          <w:sz w:val="18"/>
          <w:szCs w:val="18"/>
          <w:color w:val="FF0000"/>
          <w:strike w:val="1"/>
        </w:rPr>
        <w:t>Swingline Loans and</w:t>
      </w:r>
      <w:r>
        <w:rPr>
          <w:rFonts w:ascii="Times New Roman" w:cs="Times New Roman" w:eastAsia="Times New Roman" w:hAnsi="Times New Roman"/>
          <w:sz w:val="18"/>
          <w:szCs w:val="18"/>
          <w:color w:val="auto"/>
        </w:rPr>
        <w:t xml:space="preserve"> to make payments pursuant to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Funding Source</w:t>
      </w:r>
      <w:r>
        <w:rPr>
          <w:rFonts w:ascii="Times New Roman" w:cs="Times New Roman" w:eastAsia="Times New Roman" w:hAnsi="Times New Roman"/>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Pro Rata Treatment</w:t>
      </w:r>
      <w:r>
        <w:rPr>
          <w:rFonts w:ascii="Times New Roman" w:cs="Times New Roman" w:eastAsia="Times New Roman" w:hAnsi="Times New Roman"/>
          <w:sz w:val="18"/>
          <w:szCs w:val="18"/>
          <w:color w:val="auto"/>
        </w:rPr>
        <w:t xml:space="preserve">. Except to the extent otherwise provided herein: (i) each Borrowing </w:t>
      </w:r>
      <w:r>
        <w:rPr>
          <w:rFonts w:ascii="Times New Roman" w:cs="Times New Roman" w:eastAsia="Times New Roman" w:hAnsi="Times New Roman"/>
          <w:sz w:val="18"/>
          <w:szCs w:val="18"/>
          <w:color w:val="FF0000"/>
          <w:strike w:val="1"/>
        </w:rPr>
        <w:t>(other than Swingline Borrowings)</w:t>
      </w:r>
      <w:r>
        <w:rPr>
          <w:rFonts w:ascii="Times New Roman" w:cs="Times New Roman" w:eastAsia="Times New Roman" w:hAnsi="Times New Roman"/>
          <w:sz w:val="18"/>
          <w:szCs w:val="18"/>
          <w:color w:val="auto"/>
        </w:rPr>
        <w:t xml:space="preserve"> shall be made from the Appropriate Lenders, each payment of fees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clauses (m</w:t>
      </w:r>
      <w:r>
        <w:rPr>
          <w:rFonts w:ascii="Times New Roman" w:cs="Times New Roman" w:eastAsia="Times New Roman" w:hAnsi="Times New Roman"/>
          <w:sz w:val="18"/>
          <w:szCs w:val="18"/>
          <w:color w:val="auto"/>
        </w:rPr>
        <w:t xml:space="preserve">), (n) and (p)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be made for account of the Appropriate Lenders, and each termination or reduction of the amount of the Commitments shall be applied to the respective Commitments of the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according to the amounts of their respective Commitments; (ii) each Borrowing shall be allocated pro rata among the Lenders according to the amounts of their respective Commitments (in the case of the making of Revolving Loans) or their respective Loans that are to be included in such Borrowing (in the case of conversions and continuations of Loans); (iii) each payment or prepayment of principal of Loans by the Borrower shall be made for account of the Appropriate Lenders pro rata in accordance with the respective unpaid principal amounts of the Loans held by them; and (iv) each payment of interest on Loans by the Borrower shall be made for account of the Appropriate Lenders pro rata in accordance with the amounts of interest on such Loans then due and payable to the respective Appropriate Lenders.</w:t>
      </w:r>
    </w:p>
    <w:p>
      <w:pPr>
        <w:spacing w:after="0" w:line="200" w:lineRule="exact"/>
        <w:rPr>
          <w:sz w:val="20"/>
          <w:szCs w:val="20"/>
          <w:color w:val="auto"/>
        </w:rPr>
      </w:pPr>
    </w:p>
    <w:p>
      <w:pPr>
        <w:spacing w:after="0" w:line="2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b w:val="1"/>
          <w:bCs w:val="1"/>
          <w:color w:val="auto"/>
        </w:rPr>
        <w:t>2.13.</w:t>
      </w:r>
      <w:r>
        <w:rPr>
          <w:rFonts w:ascii="Times New Roman" w:cs="Times New Roman" w:eastAsia="Times New Roman" w:hAnsi="Times New Roman"/>
          <w:sz w:val="18"/>
          <w:szCs w:val="18"/>
          <w:color w:val="auto"/>
        </w:rPr>
        <w:t>       Sharing of Payments by Lenders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(b) above, the Lender receiving such greater proportion shall (A) notify the Administrative Agent of such fact, and (B) purchase (for cash at face value) participations in the Loans and sub-participations in L/C Obligations </w:t>
      </w:r>
      <w:r>
        <w:rPr>
          <w:rFonts w:ascii="Times New Roman" w:cs="Times New Roman" w:eastAsia="Times New Roman" w:hAnsi="Times New Roman"/>
          <w:sz w:val="18"/>
          <w:szCs w:val="18"/>
          <w:color w:val="FF0000"/>
          <w:strike w:val="1"/>
        </w:rPr>
        <w:t>and Swingline Loans</w:t>
      </w:r>
      <w:r>
        <w:rPr>
          <w:rFonts w:ascii="Times New Roman" w:cs="Times New Roman" w:eastAsia="Times New Roman" w:hAnsi="Times New Roman"/>
          <w:sz w:val="18"/>
          <w:szCs w:val="18"/>
          <w:color w:val="auto"/>
        </w:rPr>
        <w:t xml:space="preserve">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w:t>
      </w:r>
    </w:p>
    <w:p>
      <w:pPr>
        <w:spacing w:after="0" w:line="197"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6" w:lineRule="exact"/>
        <w:rPr>
          <w:sz w:val="20"/>
          <w:szCs w:val="20"/>
          <w:color w:val="auto"/>
        </w:rPr>
      </w:pPr>
    </w:p>
    <w:p>
      <w:pPr>
        <w:jc w:val="both"/>
        <w:ind w:left="13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(ii)             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not be construed to apply to (A) any payment made by or on behalf of the Borrower pursuant to and in accordance with the express terms of this Agreement (including the application of funds arising from the existence of a Defaulting Lender or Disqualified Institution), (B) the application of Cash Collateral provided for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or</w:t>
      </w:r>
    </w:p>
    <w:p>
      <w:pPr>
        <w:spacing w:after="0" w:line="1" w:lineRule="exact"/>
        <w:rPr>
          <w:sz w:val="20"/>
          <w:szCs w:val="20"/>
          <w:color w:val="auto"/>
        </w:rPr>
      </w:pPr>
    </w:p>
    <w:p>
      <w:pPr>
        <w:jc w:val="both"/>
        <w:ind w:left="1300" w:firstLine="4"/>
        <w:spacing w:after="0" w:line="255" w:lineRule="auto"/>
        <w:tabs>
          <w:tab w:leader="none" w:pos="16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obtained by a Lender as consideration for the assignment of or sale of a participation in any of its Loans or sub-participations in L/C Obligations </w:t>
      </w:r>
      <w:r>
        <w:rPr>
          <w:rFonts w:ascii="Times New Roman" w:cs="Times New Roman" w:eastAsia="Times New Roman" w:hAnsi="Times New Roman"/>
          <w:sz w:val="18"/>
          <w:szCs w:val="18"/>
          <w:color w:val="FF0000"/>
          <w:strike w:val="1"/>
        </w:rPr>
        <w:t>or Swingline Loans</w:t>
      </w:r>
      <w:r>
        <w:rPr>
          <w:rFonts w:ascii="Times New Roman" w:cs="Times New Roman" w:eastAsia="Times New Roman" w:hAnsi="Times New Roman"/>
          <w:sz w:val="18"/>
          <w:szCs w:val="18"/>
          <w:color w:val="auto"/>
        </w:rPr>
        <w:t xml:space="preserve"> to any assignee or participant, other than an assignment to any Loan Party or any Affiliate thereof (as to which the provisions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apply).</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2.14.       </w:t>
      </w:r>
      <w:r>
        <w:rPr>
          <w:rFonts w:ascii="Times New Roman" w:cs="Times New Roman" w:eastAsia="Times New Roman" w:hAnsi="Times New Roman"/>
          <w:sz w:val="18"/>
          <w:szCs w:val="18"/>
          <w:color w:val="auto"/>
        </w:rPr>
        <w:t>Cash Collateral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Obligation to Cash Collateralize</w:t>
      </w:r>
      <w:r>
        <w:rPr>
          <w:rFonts w:ascii="Times New Roman" w:cs="Times New Roman" w:eastAsia="Times New Roman" w:hAnsi="Times New Roman"/>
          <w:sz w:val="18"/>
          <w:szCs w:val="18"/>
          <w:color w:val="auto"/>
        </w:rPr>
        <w:t xml:space="preserve">. At any time there shall exist a Defaulting Lender, within three (3) Business Days following the written request of the Administrative Agent or the L/C Issuer (with a copy to the Administrative Agent), the Borrower shall Cash Collateralize the L/C Issuer’s Fronting Exposure with respect to such Defaulting Lender (determined after giving effect to </w:t>
      </w:r>
      <w:r>
        <w:rPr>
          <w:rFonts w:ascii="Times New Roman" w:cs="Times New Roman" w:eastAsia="Times New Roman" w:hAnsi="Times New Roman"/>
          <w:sz w:val="18"/>
          <w:szCs w:val="18"/>
          <w:u w:val="single" w:color="auto"/>
          <w:color w:val="auto"/>
        </w:rPr>
        <w:t>Section 2.15(a)(iv</w:t>
      </w:r>
      <w:r>
        <w:rPr>
          <w:rFonts w:ascii="Times New Roman" w:cs="Times New Roman" w:eastAsia="Times New Roman" w:hAnsi="Times New Roman"/>
          <w:sz w:val="18"/>
          <w:szCs w:val="18"/>
          <w:color w:val="auto"/>
        </w:rPr>
        <w:t>) and any Cash Collateral provided by such Defaulting Lender) in an amount not less than the Minimum Collateral Amount.</w:t>
      </w:r>
    </w:p>
    <w:p>
      <w:pPr>
        <w:spacing w:after="0" w:line="18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Grant of Security Interest</w:t>
      </w:r>
      <w:r>
        <w:rPr>
          <w:rFonts w:ascii="Times New Roman" w:cs="Times New Roman" w:eastAsia="Times New Roman" w:hAnsi="Times New Roman"/>
          <w:sz w:val="18"/>
          <w:szCs w:val="18"/>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xml:space="preserve">).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 w:cs="Times New Roman" w:eastAsia="Times New Roman" w:hAnsi="Times New Roman"/>
          <w:sz w:val="18"/>
          <w:szCs w:val="18"/>
          <w:u w:val="single" w:color="auto"/>
          <w:color w:val="auto"/>
        </w:rPr>
        <w:t>Section 2.15(a)(v</w:t>
      </w:r>
      <w:r>
        <w:rPr>
          <w:rFonts w:ascii="Times New Roman" w:cs="Times New Roman" w:eastAsia="Times New Roman" w:hAnsi="Times New Roman"/>
          <w:sz w:val="18"/>
          <w:szCs w:val="18"/>
          <w:color w:val="auto"/>
        </w:rPr>
        <w:t xml:space="preserve">), after giving effect to </w:t>
      </w:r>
      <w:r>
        <w:rPr>
          <w:rFonts w:ascii="Times New Roman" w:cs="Times New Roman" w:eastAsia="Times New Roman" w:hAnsi="Times New Roman"/>
          <w:sz w:val="18"/>
          <w:szCs w:val="18"/>
          <w:u w:val="single" w:color="auto"/>
          <w:color w:val="auto"/>
        </w:rPr>
        <w:t>Section 2.15(a)(v</w:t>
      </w:r>
      <w:r>
        <w:rPr>
          <w:rFonts w:ascii="Times New Roman" w:cs="Times New Roman" w:eastAsia="Times New Roman" w:hAnsi="Times New Roman"/>
          <w:sz w:val="18"/>
          <w:szCs w:val="18"/>
          <w:color w:val="auto"/>
        </w:rPr>
        <w:t>) and any Cash Collateral provided by the Defaulting Lender). All Cash Collateral (other than credit support not constituting funds subject to deposit) shall be maintained in one or more Controlled Accounts at Bank of America. The Borrower shall pay on demand therefor from time to time all customary account opening, activity and other administrative fees and charges in connection with the maintenance and disbursement of Cash Collateral.</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any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in respect of Letters of Credit shall be held and applied to the satisfaction of the specific L/C Obligations, obligations to fund participations therein (including, as to Cash Collateral provided by a Revolving Lender that is a Defaulting Lender, any interest accrued on such obligation) and other obligations for which the Cash Collateral was so provided, prior to any other application of such property as may be provided for herein.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Release</w:t>
      </w:r>
      <w:r>
        <w:rPr>
          <w:rFonts w:ascii="Times New Roman" w:cs="Times New Roman" w:eastAsia="Times New Roman" w:hAnsi="Times New Roman"/>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Times New Roman" w:cs="Times New Roman" w:eastAsia="Times New Roman" w:hAnsi="Times New Roman"/>
          <w:sz w:val="18"/>
          <w:szCs w:val="18"/>
          <w:u w:val="single" w:color="auto"/>
          <w:color w:val="auto"/>
        </w:rPr>
        <w:t>Section 11.06(b)(vi</w:t>
      </w:r>
      <w:r>
        <w:rPr>
          <w:rFonts w:ascii="Times New Roman" w:cs="Times New Roman" w:eastAsia="Times New Roman" w:hAnsi="Times New Roman"/>
          <w:sz w:val="18"/>
          <w:szCs w:val="18"/>
          <w:color w:val="auto"/>
        </w:rPr>
        <w:t xml:space="preserve">))) or (ii) the determination by the Administrative Agent and the L/C Issuer that there exists excess Cash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 any such release shall be without prejudice to, and any disbursement or other transfer of Cash Collateral shall be and remain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2.15. </w:t>
      </w:r>
      <w:r>
        <w:rPr>
          <w:rFonts w:ascii="Times New Roman" w:cs="Times New Roman" w:eastAsia="Times New Roman" w:hAnsi="Times New Roman"/>
          <w:sz w:val="18"/>
          <w:szCs w:val="18"/>
          <w:color w:val="auto"/>
        </w:rPr>
        <w:t>      Defaulting Lenders.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62" w:lineRule="exact"/>
        <w:rPr>
          <w:sz w:val="20"/>
          <w:szCs w:val="20"/>
          <w:color w:val="auto"/>
        </w:rPr>
      </w:pPr>
    </w:p>
    <w:p>
      <w:pPr>
        <w:ind w:left="640"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6" w:name="page97"/>
    <w:bookmarkEnd w:id="96"/>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the L/C Issuer </w:t>
      </w:r>
      <w:r>
        <w:rPr>
          <w:rFonts w:ascii="Times New Roman" w:cs="Times New Roman" w:eastAsia="Times New Roman" w:hAnsi="Times New Roman"/>
          <w:sz w:val="18"/>
          <w:szCs w:val="18"/>
          <w:color w:val="FF0000"/>
          <w:strike w:val="1"/>
        </w:rPr>
        <w:t>or the Swingline Lender</w:t>
      </w:r>
      <w:r>
        <w:rPr>
          <w:rFonts w:ascii="Times New Roman" w:cs="Times New Roman" w:eastAsia="Times New Roman" w:hAnsi="Times New Roman"/>
          <w:sz w:val="18"/>
          <w:szCs w:val="18"/>
          <w:color w:val="auto"/>
        </w:rPr>
        <w:t xml:space="preserve"> hereunder; </w:t>
      </w:r>
      <w:r>
        <w:rPr>
          <w:rFonts w:ascii="Times New Roman" w:cs="Times New Roman" w:eastAsia="Times New Roman" w:hAnsi="Times New Roman"/>
          <w:sz w:val="18"/>
          <w:szCs w:val="18"/>
          <w:i w:val="1"/>
          <w:iCs w:val="1"/>
          <w:u w:val="single" w:color="auto"/>
          <w:color w:val="auto"/>
        </w:rPr>
        <w:t>third</w:t>
      </w:r>
      <w:r>
        <w:rPr>
          <w:rFonts w:ascii="Times New Roman" w:cs="Times New Roman" w:eastAsia="Times New Roman" w:hAnsi="Times New Roman"/>
          <w:sz w:val="18"/>
          <w:szCs w:val="18"/>
          <w:color w:val="auto"/>
        </w:rPr>
        <w:t xml:space="preserve">, to Cash Collateralize the L/C Issuer’s Fronting Exposure with respect to such Defaulting Lender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fourth</w:t>
      </w:r>
      <w:r>
        <w:rPr>
          <w:rFonts w:ascii="Times New Roman" w:cs="Times New Roman" w:eastAsia="Times New Roman" w:hAnsi="Times New Roman"/>
          <w:sz w:val="18"/>
          <w:szCs w:val="18"/>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in order to (A) satisfy such Defaulting Lender’s potential future funding obligations with respect to Loans under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(B)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sixth</w:t>
      </w:r>
      <w:r>
        <w:rPr>
          <w:rFonts w:ascii="Times New Roman" w:cs="Times New Roman" w:eastAsia="Times New Roman" w:hAnsi="Times New Roman"/>
          <w:sz w:val="18"/>
          <w:szCs w:val="18"/>
          <w:color w:val="auto"/>
        </w:rPr>
        <w:t>, to the payment of any amounts owing to the Lenders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the L/C Issuer </w:t>
      </w:r>
      <w:r>
        <w:rPr>
          <w:rFonts w:ascii="Times New Roman" w:cs="Times New Roman" w:eastAsia="Times New Roman" w:hAnsi="Times New Roman"/>
          <w:sz w:val="18"/>
          <w:szCs w:val="18"/>
          <w:color w:val="FF0000"/>
          <w:strike w:val="1"/>
        </w:rPr>
        <w:t>or Swingline Lender</w:t>
      </w:r>
      <w:r>
        <w:rPr>
          <w:rFonts w:ascii="Times New Roman" w:cs="Times New Roman" w:eastAsia="Times New Roman" w:hAnsi="Times New Roman"/>
          <w:sz w:val="18"/>
          <w:szCs w:val="18"/>
          <w:color w:val="auto"/>
        </w:rPr>
        <w:t xml:space="preserve"> as a result of any judgment of a court of competent jurisdiction obtained by any Lender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L/C Issuer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or the Swingline Lender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against such Defaulting Lender as a result of such Defaulting Lender’s breach of its obligations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under this Agreement; </w:t>
      </w:r>
      <w:r>
        <w:rPr>
          <w:rFonts w:ascii="Times New Roman" w:cs="Times New Roman" w:eastAsia="Times New Roman" w:hAnsi="Times New Roman"/>
          <w:sz w:val="18"/>
          <w:szCs w:val="18"/>
          <w:i w:val="1"/>
          <w:iCs w:val="1"/>
          <w:u w:val="single" w:color="auto"/>
          <w:color w:val="000000"/>
        </w:rPr>
        <w:t>seventh</w:t>
      </w:r>
      <w:r>
        <w:rPr>
          <w:rFonts w:ascii="Times New Roman" w:cs="Times New Roman" w:eastAsia="Times New Roman" w:hAnsi="Times New Roman"/>
          <w:sz w:val="18"/>
          <w:szCs w:val="18"/>
          <w:color w:val="000000"/>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u w:val="single" w:color="auto"/>
          <w:color w:val="000000"/>
        </w:rPr>
        <w:t>eighth</w:t>
      </w:r>
      <w:r>
        <w:rPr>
          <w:rFonts w:ascii="Times New Roman" w:cs="Times New Roman" w:eastAsia="Times New Roman" w:hAnsi="Times New Roman"/>
          <w:sz w:val="18"/>
          <w:szCs w:val="18"/>
          <w:color w:val="000000"/>
        </w:rPr>
        <w:t xml:space="preserve">, to such Defaulting Lender or as otherwise may be required under the Loan Documents in connection with any Lien conferred thereunder or directed by a court of competent jurisdiction;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00"/>
        </w:rPr>
        <w:t>however</w:t>
      </w:r>
      <w:r>
        <w:rPr>
          <w:rFonts w:ascii="Times New Roman" w:cs="Times New Roman" w:eastAsia="Times New Roman" w:hAnsi="Times New Roman"/>
          <w:sz w:val="18"/>
          <w:szCs w:val="18"/>
          <w:color w:val="000000"/>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000000"/>
        </w:rPr>
        <w:t>Section 4.02</w:t>
      </w:r>
      <w:r>
        <w:rPr>
          <w:rFonts w:ascii="Times New Roman" w:cs="Times New Roman" w:eastAsia="Times New Roman" w:hAnsi="Times New Roman"/>
          <w:sz w:val="18"/>
          <w:szCs w:val="18"/>
          <w:color w:val="000000"/>
        </w:rPr>
        <w:t xml:space="preserve"> were satisfied or waived, such payment shall be applied solely to pay the Loans of, and L/C Obligations owed to, all Non-Defaulting Lenders on a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basis prior to being applied to the payment of any Loans of, or L/C Obligations owed to, such Defaulting Lender until such time as all Loans and funded and unfunded participations in L/C Obligations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Swingline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are held by the Lenders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accordance with the Commitments hereunder without giving effect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2.15(a)(v</w:t>
      </w:r>
      <w:r>
        <w:rPr>
          <w:rFonts w:ascii="Times New Roman" w:cs="Times New Roman" w:eastAsia="Times New Roman" w:hAnsi="Times New Roman"/>
          <w:sz w:val="18"/>
          <w:szCs w:val="18"/>
          <w:color w:val="000000"/>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000000"/>
        </w:rPr>
        <w:t>Section 2.15(a)(ii</w:t>
      </w:r>
      <w:r>
        <w:rPr>
          <w:rFonts w:ascii="Times New Roman" w:cs="Times New Roman" w:eastAsia="Times New Roman" w:hAnsi="Times New Roman"/>
          <w:sz w:val="18"/>
          <w:szCs w:val="18"/>
          <w:color w:val="000000"/>
        </w:rPr>
        <w:t>) shall be deemed paid to and redirected by such Defaulting Lender, and each Lender irrevocably consents hereto.</w:t>
      </w:r>
    </w:p>
    <w:p>
      <w:pPr>
        <w:spacing w:after="0" w:line="20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 xml:space="preserve">. No Defaulting Lender shall be entitled to receive any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for any period during which that Lender is a Defaulting Lender (and the Borrower shall not be required to pay any such fee that otherwise would have been required to have been paid to that Defaulting Lender).</w:t>
      </w:r>
    </w:p>
    <w:p>
      <w:pPr>
        <w:spacing w:after="0" w:line="176"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Letter of Credit Fees</w:t>
      </w:r>
      <w:r>
        <w:rPr>
          <w:rFonts w:ascii="Times New Roman" w:cs="Times New Roman" w:eastAsia="Times New Roman" w:hAnsi="Times New Roman"/>
          <w:sz w:val="18"/>
          <w:szCs w:val="18"/>
          <w:color w:val="auto"/>
        </w:rPr>
        <w:t xml:space="preserve">. Each Defaulting Lender shall be entitled to receive Letter of Credit Fees for any period during which that Lender is a Defaulting Lender only to the extent allocable to its Applicable Revolving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840"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Defaulting Lender Fees</w:t>
      </w:r>
      <w:r>
        <w:rPr>
          <w:rFonts w:ascii="Times New Roman" w:cs="Times New Roman" w:eastAsia="Times New Roman" w:hAnsi="Times New Roman"/>
          <w:sz w:val="18"/>
          <w:szCs w:val="18"/>
          <w:color w:val="auto"/>
        </w:rPr>
        <w:t xml:space="preserve">. With respect to any Letter of Credit Fee not required to be paid to any Defaulting Lender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 Borrower shall (1) pay to each Non-Defaulting Lender that portion of any such fee otherwise payable to such Defaulting Lender with respect to such Defaulting Lender’s participation in L/C Obligations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Swingline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has been reallocated to such Non-Defaulting Lender pursuant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clause (iv</w:t>
      </w:r>
      <w:r>
        <w:rPr>
          <w:rFonts w:ascii="Times New Roman" w:cs="Times New Roman" w:eastAsia="Times New Roman" w:hAnsi="Times New Roman"/>
          <w:sz w:val="18"/>
          <w:szCs w:val="18"/>
          <w:color w:val="000000"/>
        </w:rPr>
        <w:t>) below, (2) pay to the L/C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Issuer </w:t>
      </w:r>
      <w:r>
        <w:rPr>
          <w:rFonts w:ascii="Times New Roman" w:cs="Times New Roman" w:eastAsia="Times New Roman" w:hAnsi="Times New Roman"/>
          <w:sz w:val="18"/>
          <w:szCs w:val="18"/>
          <w:color w:val="FF0000"/>
          <w:strike w:val="1"/>
        </w:rPr>
        <w:t>and the Swingline Lender, as applicable,</w:t>
      </w:r>
      <w:r>
        <w:rPr>
          <w:rFonts w:ascii="Times New Roman" w:cs="Times New Roman" w:eastAsia="Times New Roman" w:hAnsi="Times New Roman"/>
          <w:sz w:val="18"/>
          <w:szCs w:val="18"/>
          <w:color w:val="000000"/>
        </w:rPr>
        <w:t xml:space="preserve"> the amount of any such fee otherwise payable to such Defaulting Lender to the extent allocable to such L/C Issuer’s </w:t>
      </w:r>
      <w:r>
        <w:rPr>
          <w:rFonts w:ascii="Times New Roman" w:cs="Times New Roman" w:eastAsia="Times New Roman" w:hAnsi="Times New Roman"/>
          <w:sz w:val="18"/>
          <w:szCs w:val="18"/>
          <w:color w:val="FF0000"/>
          <w:strike w:val="1"/>
        </w:rPr>
        <w:t>or the Swingline Lender’s</w:t>
      </w:r>
      <w:r>
        <w:rPr>
          <w:rFonts w:ascii="Times New Roman" w:cs="Times New Roman" w:eastAsia="Times New Roman" w:hAnsi="Times New Roman"/>
          <w:sz w:val="18"/>
          <w:szCs w:val="18"/>
          <w:color w:val="000000"/>
        </w:rPr>
        <w:t xml:space="preserve"> Fronting Exposure to such Defaulting Lender, and (3) not be required to pay the remaining amount of any such fee.</w:t>
      </w: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7" w:name="page98"/>
    <w:bookmarkEnd w:id="97"/>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Reallocation of Applicable Revolving Percentages to Reduce Fronting Exposure</w:t>
      </w:r>
      <w:r>
        <w:rPr>
          <w:rFonts w:ascii="Times New Roman" w:cs="Times New Roman" w:eastAsia="Times New Roman" w:hAnsi="Times New Roman"/>
          <w:sz w:val="18"/>
          <w:szCs w:val="18"/>
          <w:color w:val="auto"/>
        </w:rPr>
        <w:t xml:space="preserve">. All or any part of such Defaulting Lender’s participation in L/C Obligations </w:t>
      </w:r>
      <w:r>
        <w:rPr>
          <w:rFonts w:ascii="Times New Roman" w:cs="Times New Roman" w:eastAsia="Times New Roman" w:hAnsi="Times New Roman"/>
          <w:sz w:val="18"/>
          <w:szCs w:val="18"/>
          <w:color w:val="FF0000"/>
          <w:strike w:val="1"/>
        </w:rPr>
        <w:t>and Swingline Loans</w:t>
      </w:r>
      <w:r>
        <w:rPr>
          <w:rFonts w:ascii="Times New Roman" w:cs="Times New Roman" w:eastAsia="Times New Roman" w:hAnsi="Times New Roman"/>
          <w:sz w:val="18"/>
          <w:szCs w:val="18"/>
          <w:color w:val="auto"/>
        </w:rPr>
        <w:t xml:space="preserve"> shall be reallocated among the Non-Defaulting Lenders in accordance with their respective Applicable Revolving Percentages (calculated without regard to such Defaulting Lender’s Commitment) but only to the extent that such reallocation does not cause the aggregate Revolving Exposure of any Non-Defaulting Lender to exceed such Non-Defaulting Lender’s Revolving Commitment. Subject to </w:t>
      </w:r>
      <w:r>
        <w:rPr>
          <w:rFonts w:ascii="Times New Roman" w:cs="Times New Roman" w:eastAsia="Times New Roman" w:hAnsi="Times New Roman"/>
          <w:sz w:val="18"/>
          <w:szCs w:val="18"/>
          <w:u w:val="single" w:color="auto"/>
          <w:color w:val="auto"/>
        </w:rPr>
        <w:t>Section 11.19</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sz w:val="20"/>
          <w:szCs w:val="20"/>
          <w:color w:val="auto"/>
        </w:rPr>
      </w:pPr>
    </w:p>
    <w:p>
      <w:pPr>
        <w:jc w:val="both"/>
        <w:ind w:left="640" w:firstLine="648"/>
        <w:spacing w:after="0" w:line="276" w:lineRule="auto"/>
        <w:rPr>
          <w:sz w:val="20"/>
          <w:szCs w:val="20"/>
          <w:color w:val="auto"/>
        </w:rPr>
      </w:pPr>
      <w:r>
        <w:rPr>
          <w:rFonts w:ascii="Times New Roman" w:cs="Times New Roman" w:eastAsia="Times New Roman" w:hAnsi="Times New Roman"/>
          <w:sz w:val="17"/>
          <w:szCs w:val="17"/>
          <w:color w:val="auto"/>
        </w:rPr>
        <w:t>(v)           </w:t>
      </w:r>
      <w:r>
        <w:rPr>
          <w:rFonts w:ascii="Times New Roman" w:cs="Times New Roman" w:eastAsia="Times New Roman" w:hAnsi="Times New Roman"/>
          <w:sz w:val="17"/>
          <w:szCs w:val="17"/>
          <w:u w:val="single" w:color="auto"/>
          <w:color w:val="auto"/>
        </w:rPr>
        <w:t>  Cash Collateral</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FF0000"/>
          <w:strike w:val="1"/>
        </w:rPr>
        <w:t>Repayment of Swingline Loans</w:t>
      </w:r>
      <w:r>
        <w:rPr>
          <w:rFonts w:ascii="Times New Roman" w:cs="Times New Roman" w:eastAsia="Times New Roman" w:hAnsi="Times New Roman"/>
          <w:sz w:val="17"/>
          <w:szCs w:val="17"/>
          <w:color w:val="auto"/>
        </w:rPr>
        <w:t xml:space="preserve">. If the reallocation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FF0000"/>
          <w:strike w:val="1"/>
        </w:rPr>
        <w:t>v</w:t>
      </w:r>
      <w:r>
        <w:rPr>
          <w:rFonts w:ascii="Times New Roman" w:cs="Times New Roman" w:eastAsia="Times New Roman" w:hAnsi="Times New Roman"/>
          <w:sz w:val="17"/>
          <w:szCs w:val="17"/>
          <w:u w:val="single" w:color="auto"/>
          <w:color w:val="0000FF"/>
        </w:rPr>
        <w:t>iv</w:t>
      </w:r>
      <w:r>
        <w:rPr>
          <w:rFonts w:ascii="Times New Roman" w:cs="Times New Roman" w:eastAsia="Times New Roman" w:hAnsi="Times New Roman"/>
          <w:sz w:val="17"/>
          <w:szCs w:val="17"/>
          <w:color w:val="auto"/>
        </w:rPr>
        <w:t>) above cannot, or can only partially, be effected, the Borrower shall, without prejudice to any right or remedy available to it hereunder or under Applicable Law,</w:t>
      </w:r>
    </w:p>
    <w:p>
      <w:pPr>
        <w:spacing w:after="0" w:line="1" w:lineRule="exact"/>
        <w:rPr>
          <w:sz w:val="20"/>
          <w:szCs w:val="20"/>
          <w:color w:val="auto"/>
        </w:rPr>
      </w:pPr>
    </w:p>
    <w:p>
      <w:pPr>
        <w:ind w:left="640" w:firstLine="4"/>
        <w:spacing w:after="0" w:line="260" w:lineRule="auto"/>
        <w:tabs>
          <w:tab w:leader="none" w:pos="935" w:val="left"/>
        </w:tabs>
        <w:numPr>
          <w:ilvl w:val="0"/>
          <w:numId w:val="3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i w:val="1"/>
          <w:iCs w:val="1"/>
          <w:u w:val="single" w:color="auto"/>
          <w:color w:val="FF0000"/>
          <w:strike w:val="1"/>
        </w:rPr>
        <w:t>first</w:t>
      </w:r>
      <w:r>
        <w:rPr>
          <w:rFonts w:ascii="Times New Roman" w:cs="Times New Roman" w:eastAsia="Times New Roman" w:hAnsi="Times New Roman"/>
          <w:sz w:val="18"/>
          <w:szCs w:val="18"/>
          <w:color w:val="FF0000"/>
          <w:strike w:val="1"/>
        </w:rPr>
        <w:t>, prepay Swingline Loans in an amount equal to the Swingline Lender’s Fronting Exposure and (B)</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i w:val="1"/>
          <w:iCs w:val="1"/>
          <w:u w:val="single" w:color="auto"/>
          <w:color w:val="FF0000"/>
          <w:strike w:val="1"/>
        </w:rPr>
        <w:t>second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000000"/>
        </w:rPr>
        <w:t>Cash Collateralize</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000000"/>
        </w:rPr>
        <w:t xml:space="preserve">the L/C Issuer’s Fronting Exposure in accordance with the procedures set forth in </w:t>
      </w:r>
      <w:r>
        <w:rPr>
          <w:rFonts w:ascii="Times New Roman" w:cs="Times New Roman" w:eastAsia="Times New Roman" w:hAnsi="Times New Roman"/>
          <w:sz w:val="18"/>
          <w:szCs w:val="18"/>
          <w:u w:val="single" w:color="auto"/>
          <w:color w:val="000000"/>
        </w:rPr>
        <w:t>Section 2.14</w:t>
      </w:r>
      <w:r>
        <w:rPr>
          <w:rFonts w:ascii="Times New Roman" w:cs="Times New Roman" w:eastAsia="Times New Roman" w:hAnsi="Times New Roman"/>
          <w:sz w:val="18"/>
          <w:szCs w:val="18"/>
          <w:color w:val="000000"/>
        </w:rPr>
        <w: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If the Borrower, the Administrative Agent</w:t>
      </w:r>
      <w:r>
        <w:rPr>
          <w:rFonts w:ascii="Times New Roman" w:cs="Times New Roman" w:eastAsia="Times New Roman" w:hAnsi="Times New Roman"/>
          <w:sz w:val="18"/>
          <w:szCs w:val="18"/>
          <w:color w:val="FF0000"/>
          <w:strike w:val="1"/>
        </w:rPr>
        <w:t>, the Swingline Lender</w:t>
      </w:r>
      <w:r>
        <w:rPr>
          <w:rFonts w:ascii="Times New Roman" w:cs="Times New Roman" w:eastAsia="Times New Roman" w:hAnsi="Times New Roman"/>
          <w:sz w:val="18"/>
          <w:szCs w:val="18"/>
          <w:color w:val="auto"/>
        </w:rPr>
        <w:t xml:space="preserve">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Swingline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to be held pro rata by the Lenders in accordance with their Revolving Commitments (without giving effect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2.15(a)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(iv</w:t>
      </w:r>
      <w:r>
        <w:rPr>
          <w:rFonts w:ascii="Times New Roman" w:cs="Times New Roman" w:eastAsia="Times New Roman" w:hAnsi="Times New Roman"/>
          <w:sz w:val="18"/>
          <w:szCs w:val="18"/>
          <w:color w:val="000000"/>
        </w:rPr>
        <w:t xml:space="preserve">)), whereupon such Lender will cease to be a Defaulting Lender;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00"/>
        </w:rPr>
        <w:t>however</w:t>
      </w:r>
      <w:r>
        <w:rPr>
          <w:rFonts w:ascii="Times New Roman" w:cs="Times New Roman" w:eastAsia="Times New Roman" w:hAnsi="Times New Roman"/>
          <w:sz w:val="18"/>
          <w:szCs w:val="18"/>
          <w:color w:val="000000"/>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00"/>
        </w:rPr>
        <w:t>further</w:t>
      </w:r>
      <w:r>
        <w:rPr>
          <w:rFonts w:ascii="Times New Roman" w:cs="Times New Roman" w:eastAsia="Times New Roman" w:hAnsi="Times New Roman"/>
          <w:sz w:val="18"/>
          <w:szCs w:val="18"/>
          <w:color w:val="00000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FF0000"/>
          <w:strike w:val="1"/>
        </w:rPr>
        <w:t>New Swingline Loans/Letters of Credit</w:t>
      </w:r>
      <w:r>
        <w:rPr>
          <w:rFonts w:ascii="Times New Roman" w:cs="Times New Roman" w:eastAsia="Times New Roman" w:hAnsi="Times New Roman"/>
          <w:sz w:val="18"/>
          <w:szCs w:val="18"/>
          <w:color w:val="FF0000"/>
          <w:strike w:val="1"/>
        </w:rPr>
        <w:t>. So long as any Revolving Lender is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Defaulting Lender, (i) the Swingline Lender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 xml:space="preserve">not be required to fund any Swingline Loans unless it is satisfied that it will have no Fronting Exposure after giving effect to such Swingline Loan and (ii) the L/C Issuer shall not be required to issue, extend, increase, reinstate or renew any letter of Credit unless it is satisfied that it will have no Fronting Exposure after giving effect </w:t>
      </w:r>
      <w:r>
        <w:rPr>
          <w:rFonts w:ascii="Times New Roman" w:cs="Times New Roman" w:eastAsia="Times New Roman" w:hAnsi="Times New Roman"/>
          <w:sz w:val="18"/>
          <w:szCs w:val="18"/>
          <w:color w:val="FF0000"/>
          <w:strike w:val="1"/>
        </w:rPr>
        <w:t>thereto.</w:t>
      </w:r>
      <w:r>
        <w:rPr>
          <w:rFonts w:ascii="Times New Roman" w:cs="Times New Roman" w:eastAsia="Times New Roman" w:hAnsi="Times New Roman"/>
          <w:sz w:val="18"/>
          <w:szCs w:val="18"/>
          <w:u w:val="single" w:color="auto"/>
          <w:color w:val="0000FF"/>
        </w:rPr>
        <w:t>[Reserved.]</w:t>
      </w:r>
    </w:p>
    <w:p>
      <w:pPr>
        <w:spacing w:after="0" w:line="39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2.16.       </w:t>
      </w:r>
      <w:r>
        <w:rPr>
          <w:rFonts w:ascii="Times New Roman" w:cs="Times New Roman" w:eastAsia="Times New Roman" w:hAnsi="Times New Roman"/>
          <w:sz w:val="18"/>
          <w:szCs w:val="18"/>
          <w:color w:val="FF0000"/>
          <w:strike w:val="1"/>
        </w:rPr>
        <w:t>Increase in Commitments; Borrower Request.</w:t>
      </w:r>
      <w:r>
        <w:rPr>
          <w:rFonts w:ascii="Times New Roman" w:cs="Times New Roman" w:eastAsia="Times New Roman" w:hAnsi="Times New Roman"/>
          <w:sz w:val="18"/>
          <w:szCs w:val="18"/>
          <w:u w:val="single" w:color="auto"/>
          <w:color w:val="0000FF"/>
        </w:rPr>
        <w:t>[Reserved.]</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FF0000"/>
          <w:strike w:val="1"/>
        </w:rPr>
        <w:t>So long as the Specified Period is not then in effect, the Borrower may by written notice to the Administrative Agent elect to request (x) prior to the Maturity Date for the Revolving Facility, an increase to the existing Revolving Commitments (each, an “</w:t>
      </w:r>
      <w:r>
        <w:rPr>
          <w:rFonts w:ascii="Times New Roman" w:cs="Times New Roman" w:eastAsia="Times New Roman" w:hAnsi="Times New Roman"/>
          <w:sz w:val="18"/>
          <w:szCs w:val="18"/>
          <w:i w:val="1"/>
          <w:iCs w:val="1"/>
          <w:u w:val="single" w:color="auto"/>
          <w:color w:val="FF0000"/>
          <w:strike w:val="1"/>
        </w:rPr>
        <w:t>Incremental Revolving Commitment</w:t>
      </w:r>
      <w:r>
        <w:rPr>
          <w:rFonts w:ascii="Times New Roman" w:cs="Times New Roman" w:eastAsia="Times New Roman" w:hAnsi="Times New Roman"/>
          <w:sz w:val="18"/>
          <w:szCs w:val="18"/>
          <w:color w:val="FF0000"/>
          <w:strike w:val="1"/>
        </w:rPr>
        <w:t>”) and/or</w:t>
      </w:r>
    </w:p>
    <w:p>
      <w:pPr>
        <w:jc w:val="both"/>
        <w:ind w:firstLine="8"/>
        <w:spacing w:after="0" w:line="251" w:lineRule="auto"/>
        <w:tabs>
          <w:tab w:leader="none" w:pos="284" w:val="left"/>
        </w:tabs>
        <w:numPr>
          <w:ilvl w:val="0"/>
          <w:numId w:val="3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establishment of one or more new term loan commitments (each, an “</w:t>
      </w:r>
      <w:r>
        <w:rPr>
          <w:rFonts w:ascii="Times New Roman" w:cs="Times New Roman" w:eastAsia="Times New Roman" w:hAnsi="Times New Roman"/>
          <w:sz w:val="18"/>
          <w:szCs w:val="18"/>
          <w:i w:val="1"/>
          <w:iCs w:val="1"/>
          <w:u w:val="single" w:color="auto"/>
          <w:color w:val="FF0000"/>
          <w:strike w:val="1"/>
        </w:rPr>
        <w:t>Incremental Term Commitment</w:t>
      </w:r>
      <w:r>
        <w:rPr>
          <w:rFonts w:ascii="Times New Roman" w:cs="Times New Roman" w:eastAsia="Times New Roman" w:hAnsi="Times New Roman"/>
          <w:sz w:val="18"/>
          <w:szCs w:val="18"/>
          <w:color w:val="FF0000"/>
          <w:strike w:val="1"/>
        </w:rPr>
        <w:t>”), by an aggregate amount for all such Incremental Revolving Commitments and Incremental Term Commitments not in excess of $75,000,000. Each such notice shall specify (i) the date (each, an “</w:t>
      </w:r>
      <w:r>
        <w:rPr>
          <w:rFonts w:ascii="Times New Roman" w:cs="Times New Roman" w:eastAsia="Times New Roman" w:hAnsi="Times New Roman"/>
          <w:sz w:val="18"/>
          <w:szCs w:val="18"/>
          <w:i w:val="1"/>
          <w:iCs w:val="1"/>
          <w:u w:val="single" w:color="auto"/>
          <w:color w:val="FF0000"/>
          <w:strike w:val="1"/>
        </w:rPr>
        <w:t>Increase Effective Date</w:t>
      </w:r>
      <w:r>
        <w:rPr>
          <w:rFonts w:ascii="Times New Roman" w:cs="Times New Roman" w:eastAsia="Times New Roman" w:hAnsi="Times New Roman"/>
          <w:sz w:val="18"/>
          <w:szCs w:val="18"/>
          <w:color w:val="FF0000"/>
          <w:strike w:val="1"/>
        </w:rPr>
        <w:t xml:space="preserve">”) on which the Borrower proposes that the Incremental Commitments shall be effective, which shall be a date not less than ten (10) Business Days after the date on which such notice is delivered to the Administrative Agent and (ii) the identity of each Eligible Assignee or other Person to whom the Borrower proposes any portion of such Incremental Commitments be allocated and the amounts of such allocations; </w:t>
      </w:r>
      <w:r>
        <w:rPr>
          <w:rFonts w:ascii="Times New Roman" w:cs="Times New Roman" w:eastAsia="Times New Roman" w:hAnsi="Times New Roman"/>
          <w:sz w:val="18"/>
          <w:szCs w:val="18"/>
          <w:i w:val="1"/>
          <w:iCs w:val="1"/>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however</w:t>
      </w:r>
      <w:r>
        <w:rPr>
          <w:rFonts w:ascii="Times New Roman" w:cs="Times New Roman" w:eastAsia="Times New Roman" w:hAnsi="Times New Roman"/>
          <w:sz w:val="18"/>
          <w:szCs w:val="18"/>
          <w:color w:val="FF0000"/>
          <w:strike w:val="1"/>
        </w:rPr>
        <w:t>, that (i) any existing Lender approached to provide all or a portion of the Incremental Commitments may elect or decline, in its sole discretion, to</w:t>
      </w:r>
      <w:r>
        <w:rPr>
          <w:rFonts w:ascii="Times New Roman" w:cs="Times New Roman" w:eastAsia="Times New Roman" w:hAnsi="Times New Roman"/>
          <w:sz w:val="18"/>
          <w:szCs w:val="18"/>
          <w:i w:val="1"/>
          <w:iCs w:val="1"/>
          <w:u w:val="single" w:color="auto"/>
          <w:color w:val="FF0000"/>
          <w:strike w:val="1"/>
        </w:rPr>
        <w:t xml:space="preserve"> </w:t>
      </w:r>
      <w:r>
        <w:rPr>
          <w:rFonts w:ascii="Times New Roman" w:cs="Times New Roman" w:eastAsia="Times New Roman" w:hAnsi="Times New Roman"/>
          <w:sz w:val="18"/>
          <w:szCs w:val="18"/>
          <w:color w:val="FF0000"/>
          <w:strike w:val="1"/>
        </w:rPr>
        <w:t xml:space="preserve">provide such Incremental Commitment, (ii) the Borrower may make a maximum of three (3) such requests and (iii) Affiliated Lenders shall be subject to </w:t>
      </w:r>
      <w:r>
        <w:rPr>
          <w:rFonts w:ascii="Times New Roman" w:cs="Times New Roman" w:eastAsia="Times New Roman" w:hAnsi="Times New Roman"/>
          <w:sz w:val="18"/>
          <w:szCs w:val="18"/>
          <w:u w:val="single" w:color="auto"/>
          <w:color w:val="FF0000"/>
          <w:strike w:val="1"/>
        </w:rPr>
        <w:t>Section 2.17</w:t>
      </w:r>
      <w:r>
        <w:rPr>
          <w:rFonts w:ascii="Times New Roman" w:cs="Times New Roman" w:eastAsia="Times New Roman" w:hAnsi="Times New Roman"/>
          <w:sz w:val="18"/>
          <w:szCs w:val="18"/>
          <w:color w:val="FF0000"/>
          <w:strike w:val="1"/>
        </w:rPr>
        <w:t>. Each Incremental Commitment shall be in an aggregate amount of $10,000,000 or any whole multiple of $5,000,000 in excess thereof</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however</w:t>
      </w:r>
      <w:r>
        <w:rPr>
          <w:rFonts w:ascii="Times New Roman" w:cs="Times New Roman" w:eastAsia="Times New Roman" w:hAnsi="Times New Roman"/>
          <w:sz w:val="18"/>
          <w:szCs w:val="18"/>
          <w:color w:val="FF0000"/>
          <w:strike w:val="1"/>
        </w:rPr>
        <w:t>, that such amount may be less than $10,000,000 if such amount represents all remaining availability under the aggregate limit in respect of Incremental Commitments set forth in above).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FF0000"/>
          <w:strike w:val="1"/>
        </w:rPr>
        <w:t> Conditions</w:t>
      </w:r>
      <w:r>
        <w:rPr>
          <w:rFonts w:ascii="Times New Roman" w:cs="Times New Roman" w:eastAsia="Times New Roman" w:hAnsi="Times New Roman"/>
          <w:sz w:val="18"/>
          <w:szCs w:val="18"/>
          <w:color w:val="FF0000"/>
          <w:strike w:val="1"/>
        </w:rPr>
        <w:t>. The Incremental Commitments shall become effective as of the Increase Effective Date; provided that:</w:t>
      </w:r>
    </w:p>
    <w:p>
      <w:pPr>
        <w:spacing w:after="0" w:line="225" w:lineRule="exact"/>
        <w:rPr>
          <w:sz w:val="20"/>
          <w:szCs w:val="20"/>
          <w:color w:val="auto"/>
        </w:rPr>
      </w:pPr>
    </w:p>
    <w:p>
      <w:pPr>
        <w:ind w:left="1300" w:firstLine="652"/>
        <w:spacing w:after="0" w:line="282" w:lineRule="auto"/>
        <w:tabs>
          <w:tab w:leader="none" w:pos="2168" w:val="left"/>
        </w:tabs>
        <w:numPr>
          <w:ilvl w:val="0"/>
          <w:numId w:val="3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each of the conditions set forth in </w:t>
      </w:r>
      <w:r>
        <w:rPr>
          <w:rFonts w:ascii="Times New Roman" w:cs="Times New Roman" w:eastAsia="Times New Roman" w:hAnsi="Times New Roman"/>
          <w:sz w:val="18"/>
          <w:szCs w:val="18"/>
          <w:u w:val="single" w:color="auto"/>
          <w:color w:val="FF0000"/>
          <w:strike w:val="1"/>
        </w:rPr>
        <w:t>Section 4.02</w:t>
      </w:r>
      <w:r>
        <w:rPr>
          <w:rFonts w:ascii="Times New Roman" w:cs="Times New Roman" w:eastAsia="Times New Roman" w:hAnsi="Times New Roman"/>
          <w:sz w:val="18"/>
          <w:szCs w:val="18"/>
          <w:color w:val="FF0000"/>
          <w:strike w:val="1"/>
        </w:rPr>
        <w:t xml:space="preserve"> shall be satisfied (except as qualified in clauses (a)(ii) and (a)(iii) below with respect to an Incremental Term Commitment incurred to finance a Limited Condition Acquisition);</w:t>
      </w:r>
    </w:p>
    <w:p>
      <w:pPr>
        <w:spacing w:after="0" w:line="161" w:lineRule="exact"/>
        <w:rPr>
          <w:rFonts w:ascii="Times New Roman" w:cs="Times New Roman" w:eastAsia="Times New Roman" w:hAnsi="Times New Roman"/>
          <w:sz w:val="18"/>
          <w:szCs w:val="18"/>
          <w:color w:val="FF0000"/>
          <w:strike w:val="1"/>
        </w:rPr>
      </w:pPr>
    </w:p>
    <w:p>
      <w:pPr>
        <w:jc w:val="both"/>
        <w:ind w:left="1300" w:firstLine="652"/>
        <w:spacing w:after="0" w:line="261" w:lineRule="auto"/>
        <w:tabs>
          <w:tab w:leader="none" w:pos="2220" w:val="left"/>
        </w:tabs>
        <w:numPr>
          <w:ilvl w:val="0"/>
          <w:numId w:val="3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no Default shall have occurred and be continuing or would result from the borrowings to be made on the Increase Effective Date; </w:t>
      </w:r>
      <w:r>
        <w:rPr>
          <w:rFonts w:ascii="Times New Roman" w:cs="Times New Roman" w:eastAsia="Times New Roman" w:hAnsi="Times New Roman"/>
          <w:sz w:val="18"/>
          <w:szCs w:val="18"/>
          <w:i w:val="1"/>
          <w:iCs w:val="1"/>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however</w:t>
      </w:r>
      <w:r>
        <w:rPr>
          <w:rFonts w:ascii="Times New Roman" w:cs="Times New Roman" w:eastAsia="Times New Roman" w:hAnsi="Times New Roman"/>
          <w:sz w:val="18"/>
          <w:szCs w:val="18"/>
          <w:color w:val="FF0000"/>
          <w:strike w:val="1"/>
        </w:rPr>
        <w:t>, that in the case of Incremental Term Commitments incurred to finance a Limited Condition Acquisition, (x) no Event of Default exists at the time of entry into the definitive agreement in respect of such acquisition immediately after giving effect to such acquisition and (y) no Specified Event of Default exists at the time of consummation of such Limited Condition Acquisition;</w:t>
      </w:r>
    </w:p>
    <w:p>
      <w:pPr>
        <w:spacing w:after="0" w:line="179" w:lineRule="exact"/>
        <w:rPr>
          <w:rFonts w:ascii="Times New Roman" w:cs="Times New Roman" w:eastAsia="Times New Roman" w:hAnsi="Times New Roman"/>
          <w:sz w:val="18"/>
          <w:szCs w:val="18"/>
          <w:color w:val="FF0000"/>
          <w:strike w:val="1"/>
        </w:rPr>
      </w:pPr>
    </w:p>
    <w:p>
      <w:pPr>
        <w:jc w:val="both"/>
        <w:ind w:left="1300" w:firstLine="652"/>
        <w:spacing w:after="0" w:line="254" w:lineRule="auto"/>
        <w:tabs>
          <w:tab w:leader="none" w:pos="2269" w:val="left"/>
        </w:tabs>
        <w:numPr>
          <w:ilvl w:val="0"/>
          <w:numId w:val="3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the representations and warranties contained in </w:t>
      </w:r>
      <w:r>
        <w:rPr>
          <w:rFonts w:ascii="Times New Roman" w:cs="Times New Roman" w:eastAsia="Times New Roman" w:hAnsi="Times New Roman"/>
          <w:sz w:val="18"/>
          <w:szCs w:val="18"/>
          <w:u w:val="single" w:color="auto"/>
          <w:color w:val="FF0000"/>
          <w:strike w:val="1"/>
        </w:rPr>
        <w:t>Article V</w:t>
      </w:r>
      <w:r>
        <w:rPr>
          <w:rFonts w:ascii="Times New Roman" w:cs="Times New Roman" w:eastAsia="Times New Roman" w:hAnsi="Times New Roman"/>
          <w:sz w:val="18"/>
          <w:szCs w:val="18"/>
          <w:color w:val="FF0000"/>
          <w:strike w:val="1"/>
        </w:rPr>
        <w:t xml:space="preserve"> and the other Loan Documents are true and correct in all material respects on and as of the Increase Effective Date, except to the extent that such representations and warranties specifically refer to an earlier date, in which case they shall have been true and correct in all material respects as of such earlier date, and except that for purposes of this </w:t>
      </w:r>
      <w:r>
        <w:rPr>
          <w:rFonts w:ascii="Times New Roman" w:cs="Times New Roman" w:eastAsia="Times New Roman" w:hAnsi="Times New Roman"/>
          <w:sz w:val="18"/>
          <w:szCs w:val="18"/>
          <w:u w:val="single" w:color="auto"/>
          <w:color w:val="FF0000"/>
          <w:strike w:val="1"/>
        </w:rPr>
        <w:t>Section 2.16(a)</w:t>
      </w:r>
      <w:r>
        <w:rPr>
          <w:rFonts w:ascii="Times New Roman" w:cs="Times New Roman" w:eastAsia="Times New Roman" w:hAnsi="Times New Roman"/>
          <w:sz w:val="18"/>
          <w:szCs w:val="18"/>
          <w:color w:val="FF0000"/>
          <w:strike w:val="1"/>
        </w:rPr>
        <w:t xml:space="preserve">, the representations and warranties contained in </w:t>
      </w:r>
      <w:r>
        <w:rPr>
          <w:rFonts w:ascii="Times New Roman" w:cs="Times New Roman" w:eastAsia="Times New Roman" w:hAnsi="Times New Roman"/>
          <w:sz w:val="18"/>
          <w:szCs w:val="18"/>
          <w:u w:val="single" w:color="auto"/>
          <w:color w:val="FF0000"/>
          <w:strike w:val="1"/>
        </w:rPr>
        <w:t>Section 5.05(a)</w:t>
      </w:r>
      <w:r>
        <w:rPr>
          <w:rFonts w:ascii="Times New Roman" w:cs="Times New Roman" w:eastAsia="Times New Roman" w:hAnsi="Times New Roman"/>
          <w:sz w:val="18"/>
          <w:szCs w:val="18"/>
          <w:color w:val="FF0000"/>
          <w:strike w:val="1"/>
        </w:rPr>
        <w:t xml:space="preserve"> and </w:t>
      </w:r>
      <w:r>
        <w:rPr>
          <w:rFonts w:ascii="Times New Roman" w:cs="Times New Roman" w:eastAsia="Times New Roman" w:hAnsi="Times New Roman"/>
          <w:sz w:val="18"/>
          <w:szCs w:val="18"/>
          <w:u w:val="single" w:color="auto"/>
          <w:color w:val="FF0000"/>
          <w:strike w:val="1"/>
        </w:rPr>
        <w:t>Section 5.05(b)</w:t>
      </w:r>
      <w:r>
        <w:rPr>
          <w:rFonts w:ascii="Times New Roman" w:cs="Times New Roman" w:eastAsia="Times New Roman" w:hAnsi="Times New Roman"/>
          <w:sz w:val="18"/>
          <w:szCs w:val="18"/>
          <w:color w:val="FF0000"/>
          <w:strike w:val="1"/>
        </w:rPr>
        <w:t xml:space="preserve"> shall be deemed to refer to the most recent financial statements furnished pursuant to </w:t>
      </w:r>
      <w:r>
        <w:rPr>
          <w:rFonts w:ascii="Times New Roman" w:cs="Times New Roman" w:eastAsia="Times New Roman" w:hAnsi="Times New Roman"/>
          <w:sz w:val="18"/>
          <w:szCs w:val="18"/>
          <w:u w:val="single" w:color="auto"/>
          <w:color w:val="FF0000"/>
          <w:strike w:val="1"/>
        </w:rPr>
        <w:t>clauses (a)</w:t>
      </w:r>
      <w:r>
        <w:rPr>
          <w:rFonts w:ascii="Times New Roman" w:cs="Times New Roman" w:eastAsia="Times New Roman" w:hAnsi="Times New Roman"/>
          <w:sz w:val="18"/>
          <w:szCs w:val="18"/>
          <w:color w:val="FF0000"/>
          <w:strike w:val="1"/>
        </w:rPr>
        <w:t xml:space="preserve"> and </w:t>
      </w:r>
      <w:r>
        <w:rPr>
          <w:rFonts w:ascii="Times New Roman" w:cs="Times New Roman" w:eastAsia="Times New Roman" w:hAnsi="Times New Roman"/>
          <w:sz w:val="18"/>
          <w:szCs w:val="18"/>
          <w:u w:val="single" w:color="auto"/>
          <w:color w:val="FF0000"/>
          <w:strike w:val="1"/>
        </w:rPr>
        <w:t>(b)</w:t>
      </w:r>
      <w:r>
        <w:rPr>
          <w:rFonts w:ascii="Times New Roman" w:cs="Times New Roman" w:eastAsia="Times New Roman" w:hAnsi="Times New Roman"/>
          <w:sz w:val="18"/>
          <w:szCs w:val="18"/>
          <w:color w:val="FF0000"/>
          <w:strike w:val="1"/>
        </w:rPr>
        <w:t xml:space="preserve">, respectively, of </w:t>
      </w:r>
      <w:r>
        <w:rPr>
          <w:rFonts w:ascii="Times New Roman" w:cs="Times New Roman" w:eastAsia="Times New Roman" w:hAnsi="Times New Roman"/>
          <w:sz w:val="18"/>
          <w:szCs w:val="18"/>
          <w:u w:val="single" w:color="auto"/>
          <w:color w:val="FF0000"/>
          <w:strike w:val="1"/>
        </w:rPr>
        <w:t>Section 6.04</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however</w:t>
      </w:r>
      <w:r>
        <w:rPr>
          <w:rFonts w:ascii="Times New Roman" w:cs="Times New Roman" w:eastAsia="Times New Roman" w:hAnsi="Times New Roman"/>
          <w:sz w:val="18"/>
          <w:szCs w:val="18"/>
          <w:color w:val="FF0000"/>
          <w:strike w:val="1"/>
        </w:rPr>
        <w:t>, that in the case of Incremental Term Commitments incurred to finance a Limited Condition Acquisition, the requirement applicable to representation and warranties shall, if otherwise agreed by the Lenders providing such Incremental Term Commitments, be limited to the making and accuracy of certain “specified acquisition representations” conformed to apply to such Limited Condition Acquisition in the acquisition agreement governing such Limited Condition Acquisition and customary “specified representations”;</w:t>
      </w:r>
    </w:p>
    <w:p>
      <w:pPr>
        <w:spacing w:after="0" w:line="188" w:lineRule="exact"/>
        <w:rPr>
          <w:rFonts w:ascii="Times New Roman" w:cs="Times New Roman" w:eastAsia="Times New Roman" w:hAnsi="Times New Roman"/>
          <w:sz w:val="18"/>
          <w:szCs w:val="18"/>
          <w:color w:val="FF0000"/>
          <w:strike w:val="1"/>
        </w:rPr>
      </w:pPr>
    </w:p>
    <w:p>
      <w:pPr>
        <w:jc w:val="both"/>
        <w:ind w:left="1300" w:firstLine="652"/>
        <w:spacing w:after="0" w:line="261" w:lineRule="auto"/>
        <w:tabs>
          <w:tab w:leader="none" w:pos="2277" w:val="left"/>
        </w:tabs>
        <w:numPr>
          <w:ilvl w:val="0"/>
          <w:numId w:val="3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on a Pro Forma Basis (assuming, in the case of Incremental Revolving Commitments, that such Incremental Revolving Commitments are fully drawn), the Borrower shall be in compliance with each of the covenants set forth in </w:t>
      </w:r>
      <w:r>
        <w:rPr>
          <w:rFonts w:ascii="Times New Roman" w:cs="Times New Roman" w:eastAsia="Times New Roman" w:hAnsi="Times New Roman"/>
          <w:sz w:val="18"/>
          <w:szCs w:val="18"/>
          <w:u w:val="single" w:color="auto"/>
          <w:color w:val="FF0000"/>
          <w:strike w:val="1"/>
        </w:rPr>
        <w:t>Section 7.11</w:t>
      </w:r>
      <w:r>
        <w:rPr>
          <w:rFonts w:ascii="Times New Roman" w:cs="Times New Roman" w:eastAsia="Times New Roman" w:hAnsi="Times New Roman"/>
          <w:sz w:val="18"/>
          <w:szCs w:val="18"/>
          <w:color w:val="FF0000"/>
          <w:strike w:val="1"/>
        </w:rPr>
        <w:t xml:space="preserve"> as of the end of the latest fiscal quarter for which internal financial statements are available (or, if applicable in accordance with </w:t>
      </w:r>
      <w:r>
        <w:rPr>
          <w:rFonts w:ascii="Times New Roman" w:cs="Times New Roman" w:eastAsia="Times New Roman" w:hAnsi="Times New Roman"/>
          <w:sz w:val="18"/>
          <w:szCs w:val="18"/>
          <w:u w:val="single" w:color="auto"/>
          <w:color w:val="FF0000"/>
          <w:strike w:val="1"/>
        </w:rPr>
        <w:t>Section 1.09</w:t>
      </w:r>
      <w:r>
        <w:rPr>
          <w:rFonts w:ascii="Times New Roman" w:cs="Times New Roman" w:eastAsia="Times New Roman" w:hAnsi="Times New Roman"/>
          <w:sz w:val="18"/>
          <w:szCs w:val="18"/>
          <w:color w:val="FF0000"/>
          <w:strike w:val="1"/>
        </w:rPr>
        <w:t>, on the LCA Test Date);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ind w:left="640" w:firstLine="652"/>
        <w:spacing w:after="0" w:line="282" w:lineRule="auto"/>
        <w:tabs>
          <w:tab w:leader="none" w:pos="1582" w:val="left"/>
        </w:tabs>
        <w:numPr>
          <w:ilvl w:val="0"/>
          <w:numId w:val="3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the Borrower shall make any breakage payments in connection with any adjustment of Revolving Loans pursuant to </w:t>
      </w:r>
      <w:r>
        <w:rPr>
          <w:rFonts w:ascii="Times New Roman" w:cs="Times New Roman" w:eastAsia="Times New Roman" w:hAnsi="Times New Roman"/>
          <w:sz w:val="18"/>
          <w:szCs w:val="18"/>
          <w:u w:val="single" w:color="auto"/>
          <w:color w:val="FF0000"/>
          <w:strike w:val="1"/>
        </w:rPr>
        <w:t>Section 3.05</w:t>
      </w:r>
      <w:r>
        <w:rPr>
          <w:rFonts w:ascii="Times New Roman" w:cs="Times New Roman" w:eastAsia="Times New Roman" w:hAnsi="Times New Roman"/>
          <w:sz w:val="18"/>
          <w:szCs w:val="18"/>
          <w:color w:val="FF0000"/>
          <w:strike w:val="1"/>
        </w:rPr>
        <w:t>;</w:t>
      </w:r>
    </w:p>
    <w:p>
      <w:pPr>
        <w:spacing w:after="0" w:line="161" w:lineRule="exact"/>
        <w:rPr>
          <w:rFonts w:ascii="Times New Roman" w:cs="Times New Roman" w:eastAsia="Times New Roman" w:hAnsi="Times New Roman"/>
          <w:sz w:val="18"/>
          <w:szCs w:val="18"/>
          <w:color w:val="FF0000"/>
          <w:strike w:val="1"/>
        </w:rPr>
      </w:pPr>
    </w:p>
    <w:p>
      <w:pPr>
        <w:ind w:left="640" w:firstLine="652"/>
        <w:spacing w:after="0" w:line="282" w:lineRule="auto"/>
        <w:tabs>
          <w:tab w:leader="none" w:pos="1616" w:val="left"/>
        </w:tabs>
        <w:numPr>
          <w:ilvl w:val="0"/>
          <w:numId w:val="3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Borrower shall deliver or cause to be delivered officer’s certificates and legal opinions of the type delivered on the Closing Date to the extent reasonably requested by, and in form and substance reasonably satisfactory to, the Administrative Agent; and</w:t>
      </w:r>
    </w:p>
    <w:p>
      <w:pPr>
        <w:spacing w:after="0" w:line="162"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FF0000"/>
          <w:strike w:val="1"/>
        </w:rPr>
        <w:t>(vii)  (A) </w:t>
      </w:r>
      <w:r>
        <w:rPr>
          <w:rFonts w:ascii="Times New Roman" w:cs="Times New Roman" w:eastAsia="Times New Roman" w:hAnsi="Times New Roman"/>
          <w:sz w:val="18"/>
          <w:szCs w:val="18"/>
          <w:color w:val="FF0000"/>
        </w:rPr>
        <w:t>           </w:t>
      </w:r>
      <w:r>
        <w:rPr>
          <w:rFonts w:ascii="Times New Roman" w:cs="Times New Roman" w:eastAsia="Times New Roman" w:hAnsi="Times New Roman"/>
          <w:sz w:val="18"/>
          <w:szCs w:val="18"/>
          <w:color w:val="FF0000"/>
          <w:strike w:val="1"/>
        </w:rPr>
        <w:t>  upon the reasonable request of any Lender made at least ten (10) days prior to the Increase Effective Date,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five (5) days prior to the Increase Effective Date and (B) at least five (5) days prior to the Increase Effective Date, any Loan Party that qualifies as a “legal entity customer” under the Beneficial Ownership Regulation shall have delivered, to each Lender that so requests, a Beneficial Ownership Certification in relation to such Loan Party.</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FF0000"/>
          <w:strike w:val="1"/>
        </w:rPr>
        <w:t> Terms of New Loans and Commitments</w:t>
      </w:r>
      <w:r>
        <w:rPr>
          <w:rFonts w:ascii="Times New Roman" w:cs="Times New Roman" w:eastAsia="Times New Roman" w:hAnsi="Times New Roman"/>
          <w:sz w:val="18"/>
          <w:szCs w:val="18"/>
          <w:color w:val="FF0000"/>
          <w:strike w:val="1"/>
        </w:rPr>
        <w:t>. The terms and provisions of Loans made pursuant to Incremental Commitments shall be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follows:</w:t>
      </w:r>
    </w:p>
    <w:p>
      <w:pPr>
        <w:spacing w:after="0" w:line="207" w:lineRule="exact"/>
        <w:rPr>
          <w:sz w:val="20"/>
          <w:szCs w:val="20"/>
          <w:color w:val="auto"/>
        </w:rPr>
      </w:pPr>
    </w:p>
    <w:p>
      <w:pPr>
        <w:jc w:val="both"/>
        <w:ind w:left="640" w:firstLine="652"/>
        <w:spacing w:after="0" w:line="257" w:lineRule="auto"/>
        <w:tabs>
          <w:tab w:leader="none" w:pos="1524" w:val="left"/>
        </w:tabs>
        <w:numPr>
          <w:ilvl w:val="1"/>
          <w:numId w:val="3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terms and provisions of Incremental Term Loans shall be, except as otherwise set forth herein or in the Increase Joinder, identical to the Term Loans (it being understood that Incremental Term Loans may be a part of the Term Loans) and to the extent that the terms and provisions of Incremental Term Loans are not identical to the Term Loans (except to the extent permitted by </w:t>
      </w:r>
      <w:r>
        <w:rPr>
          <w:rFonts w:ascii="Times New Roman" w:cs="Times New Roman" w:eastAsia="Times New Roman" w:hAnsi="Times New Roman"/>
          <w:sz w:val="18"/>
          <w:szCs w:val="18"/>
          <w:u w:val="single" w:color="auto"/>
          <w:color w:val="FF0000"/>
          <w:strike w:val="1"/>
        </w:rPr>
        <w:t>clause (iii)</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(iv)</w:t>
      </w:r>
      <w:r>
        <w:rPr>
          <w:rFonts w:ascii="Times New Roman" w:cs="Times New Roman" w:eastAsia="Times New Roman" w:hAnsi="Times New Roman"/>
          <w:sz w:val="18"/>
          <w:szCs w:val="18"/>
          <w:color w:val="FF0000"/>
          <w:strike w:val="1"/>
        </w:rPr>
        <w:t xml:space="preserve"> or</w:t>
      </w:r>
    </w:p>
    <w:p>
      <w:pPr>
        <w:spacing w:after="0" w:line="1" w:lineRule="exact"/>
        <w:rPr>
          <w:rFonts w:ascii="Times New Roman" w:cs="Times New Roman" w:eastAsia="Times New Roman" w:hAnsi="Times New Roman"/>
          <w:sz w:val="18"/>
          <w:szCs w:val="18"/>
          <w:color w:val="FF0000"/>
          <w:strike w:val="1"/>
        </w:rPr>
      </w:pPr>
    </w:p>
    <w:p>
      <w:pPr>
        <w:ind w:left="640" w:right="20" w:firstLine="4"/>
        <w:spacing w:after="0" w:line="260" w:lineRule="auto"/>
        <w:tabs>
          <w:tab w:leader="none" w:pos="906" w:val="left"/>
        </w:tabs>
        <w:numPr>
          <w:ilvl w:val="0"/>
          <w:numId w:val="36"/>
        </w:numPr>
        <w:rPr>
          <w:rFonts w:ascii="Times New Roman" w:cs="Times New Roman" w:eastAsia="Times New Roman" w:hAnsi="Times New Roman"/>
          <w:sz w:val="18"/>
          <w:szCs w:val="18"/>
          <w:u w:val="single" w:color="auto"/>
          <w:color w:val="FF0000"/>
          <w:strike w:val="1"/>
        </w:rPr>
      </w:pPr>
      <w:r>
        <w:rPr>
          <w:rFonts w:ascii="Times New Roman" w:cs="Times New Roman" w:eastAsia="Times New Roman" w:hAnsi="Times New Roman"/>
          <w:sz w:val="18"/>
          <w:szCs w:val="18"/>
          <w:color w:val="FF0000"/>
          <w:strike w:val="1"/>
        </w:rPr>
        <w:t xml:space="preserve">below) they shall be reasonably satisfactory to the Administrative Agent; </w:t>
      </w:r>
      <w:r>
        <w:rPr>
          <w:rFonts w:ascii="Times New Roman" w:cs="Times New Roman" w:eastAsia="Times New Roman" w:hAnsi="Times New Roman"/>
          <w:sz w:val="18"/>
          <w:szCs w:val="18"/>
          <w:i w:val="1"/>
          <w:iCs w:val="1"/>
          <w:u w:val="single" w:color="auto"/>
          <w:color w:val="FF0000"/>
          <w:strike w:val="1"/>
        </w:rPr>
        <w:t>provided however</w:t>
      </w:r>
      <w:r>
        <w:rPr>
          <w:rFonts w:ascii="Times New Roman" w:cs="Times New Roman" w:eastAsia="Times New Roman" w:hAnsi="Times New Roman"/>
          <w:sz w:val="18"/>
          <w:szCs w:val="18"/>
          <w:color w:val="FF0000"/>
          <w:strike w:val="1"/>
        </w:rPr>
        <w:t xml:space="preserve">, that in any event the Incremental Term Loans must comply with </w:t>
      </w:r>
      <w:r>
        <w:rPr>
          <w:rFonts w:ascii="Times New Roman" w:cs="Times New Roman" w:eastAsia="Times New Roman" w:hAnsi="Times New Roman"/>
          <w:sz w:val="18"/>
          <w:szCs w:val="18"/>
          <w:u w:val="single" w:color="auto"/>
          <w:color w:val="FF0000"/>
          <w:strike w:val="1"/>
        </w:rPr>
        <w:t>clauses (iii)</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(iv)</w:t>
      </w:r>
      <w:r>
        <w:rPr>
          <w:rFonts w:ascii="Times New Roman" w:cs="Times New Roman" w:eastAsia="Times New Roman" w:hAnsi="Times New Roman"/>
          <w:sz w:val="18"/>
          <w:szCs w:val="18"/>
          <w:color w:val="FF0000"/>
          <w:strike w:val="1"/>
        </w:rPr>
        <w:t xml:space="preserve"> and </w:t>
      </w:r>
      <w:r>
        <w:rPr>
          <w:rFonts w:ascii="Times New Roman" w:cs="Times New Roman" w:eastAsia="Times New Roman" w:hAnsi="Times New Roman"/>
          <w:sz w:val="18"/>
          <w:szCs w:val="18"/>
          <w:u w:val="single" w:color="auto"/>
          <w:color w:val="FF0000"/>
          <w:strike w:val="1"/>
        </w:rPr>
        <w:t>(v)</w:t>
      </w:r>
      <w:r>
        <w:rPr>
          <w:rFonts w:ascii="Times New Roman" w:cs="Times New Roman" w:eastAsia="Times New Roman" w:hAnsi="Times New Roman"/>
          <w:sz w:val="18"/>
          <w:szCs w:val="18"/>
          <w:color w:val="FF0000"/>
          <w:strike w:val="1"/>
        </w:rPr>
        <w:t xml:space="preserve"> below;</w:t>
      </w:r>
    </w:p>
    <w:p>
      <w:pPr>
        <w:spacing w:after="0" w:line="181" w:lineRule="exact"/>
        <w:rPr>
          <w:rFonts w:ascii="Times New Roman" w:cs="Times New Roman" w:eastAsia="Times New Roman" w:hAnsi="Times New Roman"/>
          <w:sz w:val="18"/>
          <w:szCs w:val="18"/>
          <w:u w:val="single" w:color="auto"/>
          <w:color w:val="FF0000"/>
          <w:strike w:val="1"/>
        </w:rPr>
      </w:pPr>
    </w:p>
    <w:p>
      <w:pPr>
        <w:jc w:val="both"/>
        <w:ind w:left="640" w:firstLine="652"/>
        <w:spacing w:after="0" w:line="261" w:lineRule="auto"/>
        <w:tabs>
          <w:tab w:leader="none" w:pos="1555" w:val="left"/>
        </w:tabs>
        <w:numPr>
          <w:ilvl w:val="1"/>
          <w:numId w:val="3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the terms and provisions of Revolving Loans made pursuant to new Commitments shall be identical to the Revolving Loans; </w:t>
      </w:r>
      <w:r>
        <w:rPr>
          <w:rFonts w:ascii="Times New Roman" w:cs="Times New Roman" w:eastAsia="Times New Roman" w:hAnsi="Times New Roman"/>
          <w:sz w:val="18"/>
          <w:szCs w:val="18"/>
          <w:i w:val="1"/>
          <w:iCs w:val="1"/>
          <w:u w:val="single" w:color="auto"/>
          <w:color w:val="FF0000"/>
          <w:strike w:val="1"/>
        </w:rPr>
        <w:t>provided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i w:val="1"/>
          <w:iCs w:val="1"/>
          <w:u w:val="single" w:color="auto"/>
          <w:color w:val="FF0000"/>
          <w:strike w:val="1"/>
        </w:rPr>
        <w:t xml:space="preserve"> however</w:t>
      </w:r>
      <w:r>
        <w:rPr>
          <w:rFonts w:ascii="Times New Roman" w:cs="Times New Roman" w:eastAsia="Times New Roman" w:hAnsi="Times New Roman"/>
          <w:sz w:val="18"/>
          <w:szCs w:val="18"/>
          <w:color w:val="FF0000"/>
          <w:strike w:val="1"/>
        </w:rPr>
        <w:t>, that the up-front fees and/or other arrangement, structuring, closing, underwriting and similar fees payable in respect</w:t>
      </w:r>
      <w:r>
        <w:rPr>
          <w:rFonts w:ascii="Times New Roman" w:cs="Times New Roman" w:eastAsia="Times New Roman" w:hAnsi="Times New Roman"/>
          <w:sz w:val="18"/>
          <w:szCs w:val="18"/>
          <w:i w:val="1"/>
          <w:iCs w:val="1"/>
          <w:u w:val="single" w:color="auto"/>
          <w:color w:val="FF0000"/>
          <w:strike w:val="1"/>
        </w:rPr>
        <w:t xml:space="preserve"> </w:t>
      </w:r>
      <w:r>
        <w:rPr>
          <w:rFonts w:ascii="Times New Roman" w:cs="Times New Roman" w:eastAsia="Times New Roman" w:hAnsi="Times New Roman"/>
          <w:sz w:val="18"/>
          <w:szCs w:val="18"/>
          <w:color w:val="FF0000"/>
          <w:strike w:val="1"/>
        </w:rPr>
        <w:t>of any Incremental Revolving Commitment shall be determined by the Borrower and the Lenders of the Incremental Revolving Commitment;</w:t>
      </w:r>
    </w:p>
    <w:p>
      <w:pPr>
        <w:spacing w:after="0" w:line="179" w:lineRule="exact"/>
        <w:rPr>
          <w:rFonts w:ascii="Times New Roman" w:cs="Times New Roman" w:eastAsia="Times New Roman" w:hAnsi="Times New Roman"/>
          <w:sz w:val="18"/>
          <w:szCs w:val="18"/>
          <w:color w:val="FF0000"/>
          <w:strike w:val="1"/>
        </w:rPr>
      </w:pPr>
    </w:p>
    <w:p>
      <w:pPr>
        <w:ind w:left="640" w:firstLine="652"/>
        <w:spacing w:after="0" w:line="282" w:lineRule="auto"/>
        <w:tabs>
          <w:tab w:leader="none" w:pos="1631" w:val="left"/>
        </w:tabs>
        <w:numPr>
          <w:ilvl w:val="1"/>
          <w:numId w:val="3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weighted average life to maturity of any Incremental Term Loans shall be no shorter than the remaining weighted average life to maturity of the then existing Term Loans;</w:t>
      </w:r>
    </w:p>
    <w:p>
      <w:pPr>
        <w:spacing w:after="0" w:line="161" w:lineRule="exact"/>
        <w:rPr>
          <w:rFonts w:ascii="Times New Roman" w:cs="Times New Roman" w:eastAsia="Times New Roman" w:hAnsi="Times New Roman"/>
          <w:sz w:val="18"/>
          <w:szCs w:val="18"/>
          <w:color w:val="FF0000"/>
          <w:strike w:val="1"/>
        </w:rPr>
      </w:pPr>
    </w:p>
    <w:p>
      <w:pPr>
        <w:ind w:left="640" w:firstLine="652"/>
        <w:spacing w:after="0" w:line="282" w:lineRule="auto"/>
        <w:tabs>
          <w:tab w:leader="none" w:pos="1596" w:val="left"/>
        </w:tabs>
        <w:numPr>
          <w:ilvl w:val="1"/>
          <w:numId w:val="3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the maturity date of Incremental Term Loans (the “</w:t>
      </w:r>
      <w:r>
        <w:rPr>
          <w:rFonts w:ascii="Times New Roman" w:cs="Times New Roman" w:eastAsia="Times New Roman" w:hAnsi="Times New Roman"/>
          <w:sz w:val="18"/>
          <w:szCs w:val="18"/>
          <w:u w:val="single" w:color="auto"/>
          <w:color w:val="FF0000"/>
          <w:strike w:val="1"/>
        </w:rPr>
        <w:t>Incremental Term Loan Maturity Date</w:t>
      </w:r>
      <w:r>
        <w:rPr>
          <w:rFonts w:ascii="Times New Roman" w:cs="Times New Roman" w:eastAsia="Times New Roman" w:hAnsi="Times New Roman"/>
          <w:sz w:val="18"/>
          <w:szCs w:val="18"/>
          <w:color w:val="FF0000"/>
          <w:strike w:val="1"/>
        </w:rPr>
        <w:t>”) shall not be earlier than the then Latest Maturity Date;</w:t>
      </w:r>
    </w:p>
    <w:p>
      <w:pPr>
        <w:spacing w:after="0" w:line="37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0" w:name="page101"/>
    <w:bookmarkEnd w:id="100"/>
    <w:p>
      <w:pPr>
        <w:jc w:val="both"/>
        <w:ind w:left="1300" w:firstLine="652"/>
        <w:spacing w:after="0" w:line="252" w:lineRule="auto"/>
        <w:tabs>
          <w:tab w:leader="none" w:pos="2219" w:val="left"/>
        </w:tabs>
        <w:numPr>
          <w:ilvl w:val="0"/>
          <w:numId w:val="3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the Applicable Rate for Incremental Term Loans shall be determined by the Borrower and the Lenders of the Incremental Term Loans;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in the event that the Applicable Rate for any Incremental Term Loan is greater than the Applicable Rate for the Term Loans by more than fifty (50) basis points, then the Applicable Rate for the Term Loans shall be increased to the extent necessary so that the Applicable Rate for the Incremental Term Loans is fifty (50) basis points higher than the Applicable Rate for the Term Loans, and the Applicable Rate for Revolving Loans (at each point in the table set forth in the definition of “Applicable Rate,” to the extent applicable) shall be increased by the same number of basis points as the Applicable Rate for the Term Loan is increased;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FF0000"/>
          <w:strike w:val="1"/>
        </w:rPr>
        <w:t>further</w:t>
      </w:r>
      <w:r>
        <w:rPr>
          <w:rFonts w:ascii="Times New Roman" w:cs="Times New Roman" w:eastAsia="Times New Roman" w:hAnsi="Times New Roman"/>
          <w:sz w:val="18"/>
          <w:szCs w:val="18"/>
          <w:color w:val="FF0000"/>
          <w:strike w:val="1"/>
        </w:rPr>
        <w:t>, that in determining the Applicable Rate applicable to the Term Loans and the Incremental Term Loans, (x) original issue discount (“</w:t>
      </w:r>
      <w:r>
        <w:rPr>
          <w:rFonts w:ascii="Times New Roman" w:cs="Times New Roman" w:eastAsia="Times New Roman" w:hAnsi="Times New Roman"/>
          <w:sz w:val="18"/>
          <w:szCs w:val="18"/>
          <w:u w:val="single" w:color="auto"/>
          <w:color w:val="FF0000"/>
          <w:strike w:val="1"/>
        </w:rPr>
        <w:t>OID</w:t>
      </w:r>
      <w:r>
        <w:rPr>
          <w:rFonts w:ascii="Times New Roman" w:cs="Times New Roman" w:eastAsia="Times New Roman" w:hAnsi="Times New Roman"/>
          <w:sz w:val="18"/>
          <w:szCs w:val="18"/>
          <w:color w:val="FF0000"/>
          <w:strike w:val="1"/>
        </w:rPr>
        <w:t xml:space="preserve">”) or upfront fees (which shall be deemed to constitute like amounts of OID) payable by the Borrower to the Lenders of the Term Loans or the Incremental Term Loans in the primary syndication thereof shall be included (with OID being equated to interest based on an assumed four-year life to maturity); (y) customary arrangement or commitment fees payable to BofA Securities (or its respective affiliates) in connection with the Term Loans or to one (1) or more arrangers (or their affiliates) of the Incremental Term Loans shall be excluded; and (z) if the Term SOFR or Base Rate “floor” for the Incremental Term Loans is greater than the Term SOFR or Base Rate “floor,” respectively, for the existing Term Loans, the difference between such floor for the Incremental Term Loans and the existing Term Loans shall be equated to an increase in the Applicable Rate for purposes of this </w:t>
      </w:r>
      <w:r>
        <w:rPr>
          <w:rFonts w:ascii="Times New Roman" w:cs="Times New Roman" w:eastAsia="Times New Roman" w:hAnsi="Times New Roman"/>
          <w:sz w:val="18"/>
          <w:szCs w:val="18"/>
          <w:u w:val="single" w:color="auto"/>
          <w:color w:val="FF0000"/>
          <w:strike w:val="1"/>
        </w:rPr>
        <w:t>clause (v)</w:t>
      </w:r>
      <w:r>
        <w:rPr>
          <w:rFonts w:ascii="Times New Roman" w:cs="Times New Roman" w:eastAsia="Times New Roman" w:hAnsi="Times New Roman"/>
          <w:sz w:val="18"/>
          <w:szCs w:val="18"/>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-1036955</wp:posOffset>
            </wp:positionV>
            <wp:extent cx="63023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02375" cy="8255"/>
                    </a:xfrm>
                    <a:prstGeom prst="rect">
                      <a:avLst/>
                    </a:prstGeom>
                    <a:noFill/>
                  </pic:spPr>
                </pic:pic>
              </a:graphicData>
            </a:graphic>
          </wp:anchor>
        </w:drawing>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FF0000"/>
          <w:strike w:val="1"/>
        </w:rPr>
        <w:t>The Incremental Commitments shall be effected by a joinder agreement (the “</w:t>
      </w:r>
      <w:r>
        <w:rPr>
          <w:rFonts w:ascii="Times New Roman" w:cs="Times New Roman" w:eastAsia="Times New Roman" w:hAnsi="Times New Roman"/>
          <w:sz w:val="18"/>
          <w:szCs w:val="18"/>
          <w:u w:val="single" w:color="auto"/>
          <w:color w:val="FF0000"/>
          <w:strike w:val="1"/>
        </w:rPr>
        <w:t>Increase Joinder</w:t>
      </w:r>
      <w:r>
        <w:rPr>
          <w:rFonts w:ascii="Times New Roman" w:cs="Times New Roman" w:eastAsia="Times New Roman" w:hAnsi="Times New Roman"/>
          <w:sz w:val="18"/>
          <w:szCs w:val="18"/>
          <w:color w:val="FF0000"/>
          <w:strike w:val="1"/>
        </w:rPr>
        <w:t xml:space="preserve">”) executed by the Borrower, the Administrative Agent and each Lender making such Incremental Commitment, in form and substance reasonably satisfactory to each of them. The Increase Joinder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18"/>
          <w:szCs w:val="18"/>
          <w:u w:val="single" w:color="auto"/>
          <w:color w:val="FF0000"/>
          <w:strike w:val="1"/>
        </w:rPr>
        <w:t>Section 2.16</w:t>
      </w:r>
      <w:r>
        <w:rPr>
          <w:rFonts w:ascii="Times New Roman" w:cs="Times New Roman" w:eastAsia="Times New Roman" w:hAnsi="Times New Roman"/>
          <w:sz w:val="18"/>
          <w:szCs w:val="18"/>
          <w:color w:val="FF0000"/>
          <w:strike w:val="1"/>
        </w:rPr>
        <w:t xml:space="preserve">; provided, that, to the extent such amendments include any modifications to, or have the effect of modifying, the Credit Agreement or the other Loan Documents as described in </w:t>
      </w:r>
      <w:r>
        <w:rPr>
          <w:rFonts w:ascii="Times New Roman" w:cs="Times New Roman" w:eastAsia="Times New Roman" w:hAnsi="Times New Roman"/>
          <w:sz w:val="18"/>
          <w:szCs w:val="18"/>
          <w:u w:val="single" w:color="auto"/>
          <w:color w:val="FF0000"/>
          <w:strike w:val="1"/>
        </w:rPr>
        <w:t>Section 11.01</w:t>
      </w:r>
      <w:r>
        <w:rPr>
          <w:rFonts w:ascii="Times New Roman" w:cs="Times New Roman" w:eastAsia="Times New Roman" w:hAnsi="Times New Roman"/>
          <w:sz w:val="18"/>
          <w:szCs w:val="18"/>
          <w:color w:val="FF0000"/>
          <w:strike w:val="1"/>
        </w:rPr>
        <w:t xml:space="preserve">, such amendments shall be governed by the applicable provisions in </w:t>
      </w:r>
      <w:r>
        <w:rPr>
          <w:rFonts w:ascii="Times New Roman" w:cs="Times New Roman" w:eastAsia="Times New Roman" w:hAnsi="Times New Roman"/>
          <w:sz w:val="18"/>
          <w:szCs w:val="18"/>
          <w:u w:val="single" w:color="auto"/>
          <w:color w:val="FF0000"/>
          <w:strike w:val="1"/>
        </w:rPr>
        <w:t>Section 11.01</w:t>
      </w:r>
      <w:r>
        <w:rPr>
          <w:rFonts w:ascii="Times New Roman" w:cs="Times New Roman" w:eastAsia="Times New Roman" w:hAnsi="Times New Roman"/>
          <w:sz w:val="18"/>
          <w:szCs w:val="18"/>
          <w:color w:val="FF0000"/>
          <w:strike w:val="1"/>
        </w:rPr>
        <w:t xml:space="preserve"> notwithstanding this </w:t>
      </w:r>
      <w:r>
        <w:rPr>
          <w:rFonts w:ascii="Times New Roman" w:cs="Times New Roman" w:eastAsia="Times New Roman" w:hAnsi="Times New Roman"/>
          <w:sz w:val="18"/>
          <w:szCs w:val="18"/>
          <w:u w:val="single" w:color="auto"/>
          <w:color w:val="FF0000"/>
          <w:strike w:val="1"/>
        </w:rPr>
        <w:t>Section 2.16</w:t>
      </w:r>
      <w:r>
        <w:rPr>
          <w:rFonts w:ascii="Times New Roman" w:cs="Times New Roman" w:eastAsia="Times New Roman" w:hAnsi="Times New Roman"/>
          <w:sz w:val="18"/>
          <w:szCs w:val="18"/>
          <w:color w:val="FF0000"/>
          <w:strike w:val="1"/>
        </w:rPr>
        <w:t>. In addition, unless otherwise specifically provided herein, all references in Loan Documents to Revolving Loans or Term Loans shall be deemed, unless the context otherwise requires, to include references to Revolving Loans made pursuant to Incremental Revolving Commitments and Incremental Term Loans that are Term Loans, respectively, made pursuant to this Agreement.</w:t>
      </w:r>
    </w:p>
    <w:p>
      <w:pPr>
        <w:spacing w:after="0" w:line="188"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FF0000"/>
          <w:strike w:val="1"/>
        </w:rPr>
        <w:t> Adjustment of Revolving Credit Loans</w:t>
      </w:r>
      <w:r>
        <w:rPr>
          <w:rFonts w:ascii="Times New Roman" w:cs="Times New Roman" w:eastAsia="Times New Roman" w:hAnsi="Times New Roman"/>
          <w:sz w:val="18"/>
          <w:szCs w:val="18"/>
          <w:color w:val="FF0000"/>
          <w:strike w:val="1"/>
        </w:rPr>
        <w:t xml:space="preserve">. To the extent the Commitments being increased on the relevant Increase Effective Date are Incremental Revolving Commitments, then each Revolving Lender that is acquiring an Incremental Revolving Commitment on the Increase Effective Date shall make a Revolving Loan, the proceeds of which will be used to prepay the Revolving Loans of the other Revolving Lenders immediately prior to such Increase Effective Date, so that, after giving effect thereto, the Revolving Loans outstanding are held by the Revolving Lenders pro rata based on their Revolving Commitments after giving effect to such Increase Effective Date. If there is a new borrowing of Revolving Loans on such Increase Effective Date, the Revolving Lenders after giving effect to such Increase Effective Date shall make such Revolving Loans in accordance with </w:t>
      </w:r>
      <w:r>
        <w:rPr>
          <w:rFonts w:ascii="Times New Roman" w:cs="Times New Roman" w:eastAsia="Times New Roman" w:hAnsi="Times New Roman"/>
          <w:sz w:val="18"/>
          <w:szCs w:val="18"/>
          <w:u w:val="single" w:color="auto"/>
          <w:color w:val="FF0000"/>
          <w:strike w:val="1"/>
        </w:rPr>
        <w:t>Section 2.01(b)</w:t>
      </w:r>
      <w:r>
        <w:rPr>
          <w:rFonts w:ascii="Times New Roman" w:cs="Times New Roman" w:eastAsia="Times New Roman" w:hAnsi="Times New Roman"/>
          <w:sz w:val="18"/>
          <w:szCs w:val="18"/>
          <w:color w:val="FF0000"/>
          <w:strike w:val="1"/>
        </w:rPr>
        <w:t>.</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FF0000"/>
          <w:strike w:val="1"/>
        </w:rPr>
        <w:t> Making of New Term Loans</w:t>
      </w:r>
      <w:r>
        <w:rPr>
          <w:rFonts w:ascii="Times New Roman" w:cs="Times New Roman" w:eastAsia="Times New Roman" w:hAnsi="Times New Roman"/>
          <w:sz w:val="18"/>
          <w:szCs w:val="18"/>
          <w:color w:val="FF0000"/>
          <w:strike w:val="1"/>
        </w:rPr>
        <w:t>. On any Increase Effective Date on which new Commitments for Term Loans are effective, subject to the satisfaction of the foregoing terms and conditions, each Lender of such new Commitment shall make a Term Loan to the Borrower in an amount equal to its new Commitment.</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u w:val="single" w:color="auto"/>
          <w:color w:val="FF0000"/>
          <w:strike w:val="1"/>
        </w:rPr>
        <w:t> Equal and Ratable Benefit</w:t>
      </w:r>
      <w:r>
        <w:rPr>
          <w:rFonts w:ascii="Times New Roman" w:cs="Times New Roman" w:eastAsia="Times New Roman" w:hAnsi="Times New Roman"/>
          <w:sz w:val="18"/>
          <w:szCs w:val="18"/>
          <w:color w:val="FF0000"/>
          <w:strike w:val="1"/>
        </w:rPr>
        <w:t xml:space="preserve">. The Loans and Commitments established pursuant to this </w:t>
      </w:r>
      <w:r>
        <w:rPr>
          <w:rFonts w:ascii="Times New Roman" w:cs="Times New Roman" w:eastAsia="Times New Roman" w:hAnsi="Times New Roman"/>
          <w:sz w:val="18"/>
          <w:szCs w:val="18"/>
          <w:u w:val="single" w:color="auto"/>
          <w:color w:val="FF0000"/>
          <w:strike w:val="1"/>
        </w:rPr>
        <w:t>Section 2.16</w:t>
      </w:r>
      <w:r>
        <w:rPr>
          <w:rFonts w:ascii="Times New Roman" w:cs="Times New Roman" w:eastAsia="Times New Roman" w:hAnsi="Times New Roman"/>
          <w:sz w:val="18"/>
          <w:szCs w:val="18"/>
          <w:color w:val="FF0000"/>
          <w:strike w:val="1"/>
        </w:rPr>
        <w:t xml:space="preserve"> shall constitute Loans and Commitments under, and shall be entitled to all the benefits afforded by, this Agreement and the other Loan Documents, and shall, without limiting the foregoing, benefit equally and ratably from the Guarantees and security interests created by the Collateral Documents, except that the new Loans may be subordinated in right of payment or the Liens securing the new Loans may be subordinated, in each case, to the extent set forth in the Increase Joinder.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2.17. </w:t>
      </w:r>
      <w:r>
        <w:rPr>
          <w:rFonts w:ascii="Times New Roman" w:cs="Times New Roman" w:eastAsia="Times New Roman" w:hAnsi="Times New Roman"/>
          <w:sz w:val="18"/>
          <w:szCs w:val="18"/>
          <w:color w:val="auto"/>
        </w:rPr>
        <w:t>      Affiliated Lender Term Loan Purchases.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(other than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any Affiliated Lender may be an assignee in respect of Term Loans (but not Revolving Commitments or Revolving Loans) of a particular Class (and to such extent shall constitute an Eligible Assignee), including through open market purchases;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(a) the aggregate principal amount of Term Loans of a particular Class owned or held by any Affiliated Lenders at any time shall not exceed, in the aggregate, twenty percent (20%) of the aggregate outstanding principal amount of all Term Loans of such Class; (b) notwithstanding anything to the contrary in the definition of “Required Lenders” or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the holder of any Term Loans acquired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not be entitled to vote such Term Loans in any vote requiring the consent of the Required Lenders pursuant to the terms of this Agreement or any other Loan Document (it being understood that the holder of such Term Loans shall have the right to consent to votes requiring the consent of all Lenders or all Lenders directly affected thereby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otherwise, or any other amendment which treats such Lenders differently from other Lenders), and for purposes of any such vote such Term Loans shall be deemed not to be outstanding; (c) no Default shall have occurred and be continuing on the date of such purchase or would occur as a result of such assignment; (d) as a condition to purchasing such Term Loans, the Affiliated Lenders acquiring Term Loans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make the representation provided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(e) no proceeds of any Revolving Borrowing shall be used to finance any such purchase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(f) by acquiring a Term Loan hereunder, each of the Affiliated Lenders shall be deemed to have (i) waived its right to (1) receive information prepared by the Administrative Agent or any Lender (or any advisor, agent or counsel thereof) under or in connection with this Agreement or any other Loan Document (2) attend any meeting or conference call with the Administrative Agent or any Lender and (3) to receive advice of counsel to the Administrative Agent and the Lenders, (ii) agreed that it is prohibited from making or bringing any claim, in its capacity as a Lender, against the Administrative Agent or any Lender with respect to the duties and obligations of such Persons under the Loan Documents, and (iii) agreed that it will have no right whatsoever to require the Administrative Agent or any Lender to undertake any action (or refrain from taking any action) with respect to this Agreement or any other Loan Document; (g) in connection with the purchase of Term Loans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each Affiliated Lender acquiring Term Loans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execute and deliver an Affiliated Lender Assignment and Assumption pursuant to which it identifies itself as an Affiliate of the Loan Parties and (h) Term Loans acquired by the Affiliated Lenders shall be subject to the voting limitations set forth in </w:t>
      </w:r>
      <w:r>
        <w:rPr>
          <w:rFonts w:ascii="Times New Roman" w:cs="Times New Roman" w:eastAsia="Times New Roman" w:hAnsi="Times New Roman"/>
          <w:sz w:val="18"/>
          <w:szCs w:val="18"/>
          <w:u w:val="single" w:color="auto"/>
          <w:color w:val="auto"/>
        </w:rPr>
        <w:t>Section 11.06(h)</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YIELD PROTECTION AND ILLEGALITY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3.01.</w:t>
      </w:r>
      <w:r>
        <w:rPr>
          <w:rFonts w:ascii="Times New Roman" w:cs="Times New Roman" w:eastAsia="Times New Roman" w:hAnsi="Times New Roman"/>
          <w:sz w:val="18"/>
          <w:szCs w:val="18"/>
          <w:color w:val="auto"/>
        </w:rPr>
        <w:t>        Taxes.</w:t>
      </w:r>
    </w:p>
    <w:p>
      <w:pPr>
        <w:spacing w:after="0" w:line="22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term “Applicable Law” includes FATCA and the term “Lender” includes any L/C Issuer.</w:t>
      </w:r>
    </w:p>
    <w:p>
      <w:pPr>
        <w:spacing w:after="0" w:line="16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Payments Free of Taxes; Obligation to Withhold; Payments on Account of Taxes</w:t>
      </w:r>
      <w:r>
        <w:rPr>
          <w:rFonts w:ascii="Times New Roman" w:cs="Times New Roman" w:eastAsia="Times New Roman" w:hAnsi="Times New Roman"/>
          <w:sz w:val="18"/>
          <w:szCs w:val="18"/>
          <w:color w:val="auto"/>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ind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Payment of Other Taxes by the Loan Parties</w:t>
      </w:r>
      <w:r>
        <w:rPr>
          <w:rFonts w:ascii="Times New Roman" w:cs="Times New Roman" w:eastAsia="Times New Roman" w:hAnsi="Times New Roman"/>
          <w:sz w:val="18"/>
          <w:szCs w:val="18"/>
          <w:color w:val="auto"/>
        </w:rPr>
        <w:t>. The Loan Parties shall timely pay to the relevant Governmental Authority in accordance with Applicable Law, or at the option of the Administrative Agent timely reimburse it for the payment of, any Other Taxes.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Each of the Loan Parties shall also, and does hereby, jointly and severally indemnify the Administrative Agent, and shall make payment in respect thereof within ten (10) days after demand therefor, for any amount which a Lender for any reason fails to pay indefeasibly to the Administrative Agent as required pursuant to </w:t>
      </w:r>
      <w:r>
        <w:rPr>
          <w:rFonts w:ascii="Times New Roman" w:cs="Times New Roman" w:eastAsia="Times New Roman" w:hAnsi="Times New Roman"/>
          <w:sz w:val="18"/>
          <w:szCs w:val="18"/>
          <w:u w:val="single" w:color="auto"/>
          <w:color w:val="auto"/>
        </w:rPr>
        <w:t>Section 3.01(d)(ii</w:t>
      </w:r>
      <w:r>
        <w:rPr>
          <w:rFonts w:ascii="Times New Roman" w:cs="Times New Roman" w:eastAsia="Times New Roman" w:hAnsi="Times New Roman"/>
          <w:sz w:val="18"/>
          <w:szCs w:val="18"/>
          <w:color w:val="auto"/>
        </w:rPr>
        <w:t>) below.</w:t>
      </w:r>
    </w:p>
    <w:p>
      <w:pPr>
        <w:spacing w:after="0" w:line="194"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Each Lender shall, and does hereby, severally indemnify and shall make payment in respect thereof within ten (10) days after demand therefor, (A) the Administrative Agent against any Indemnified Taxes attributable to such Lender, (B) the Administrative Agent and the Loan Parties or a Loan Party against any Taxes attributable to such Lender’s failure to comply with the provisions of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xml:space="preserve">) relating to the maintenance of a Participant Register and (C) the Administrative Agent and the Loan Parties or a Loan Party against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u w:val="single" w:color="auto"/>
          <w:color w:val="auto"/>
        </w:rPr>
        <w:t>clause (d)(ii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3" w:name="page104"/>
    <w:bookmarkEnd w:id="10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Evidence of Payments</w:t>
      </w:r>
      <w:r>
        <w:rPr>
          <w:rFonts w:ascii="Times New Roman" w:cs="Times New Roman" w:eastAsia="Times New Roman" w:hAnsi="Times New Roman"/>
          <w:sz w:val="18"/>
          <w:szCs w:val="18"/>
          <w:color w:val="auto"/>
        </w:rPr>
        <w:t xml:space="preserve">. As soon as practicable after any payment of Taxes by any Loan Party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Borrower shall deliver to the Administrative Agent the original or a copy of a receipt issued by such Governmental Authority evidencing such payment, a copy of any return reporting such payment or other evidence of such payment reasonably satisfactory to the Administrative Agent.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3.01(f)(ii)(A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the Borrower is a U.S. Person,</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0" w:lineRule="exact"/>
        <w:rPr>
          <w:sz w:val="20"/>
          <w:szCs w:val="20"/>
          <w:color w:val="auto"/>
        </w:rPr>
      </w:pPr>
    </w:p>
    <w:p>
      <w:pPr>
        <w:jc w:val="both"/>
        <w:ind w:left="1940" w:firstLine="648"/>
        <w:spacing w:after="0" w:line="256" w:lineRule="auto"/>
        <w:rPr>
          <w:sz w:val="20"/>
          <w:szCs w:val="20"/>
          <w:color w:val="auto"/>
        </w:rPr>
      </w:pPr>
      <w:r>
        <w:rPr>
          <w:rFonts w:ascii="Times New Roman" w:cs="Times New Roman" w:eastAsia="Times New Roman" w:hAnsi="Times New Roman"/>
          <w:sz w:val="18"/>
          <w:szCs w:val="18"/>
          <w:color w:val="auto"/>
        </w:rPr>
        <w:t>(1)             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4" w:name="page105"/>
    <w:bookmarkEnd w:id="104"/>
    <w:p>
      <w:pPr>
        <w:ind w:left="2120"/>
        <w:spacing w:after="0"/>
        <w:rPr>
          <w:sz w:val="20"/>
          <w:szCs w:val="20"/>
          <w:color w:val="auto"/>
        </w:rPr>
      </w:pPr>
      <w:r>
        <w:rPr>
          <w:rFonts w:ascii="Times New Roman" w:cs="Times New Roman" w:eastAsia="Times New Roman" w:hAnsi="Times New Roman"/>
          <w:sz w:val="18"/>
          <w:szCs w:val="18"/>
          <w:color w:val="auto"/>
        </w:rPr>
        <w:t>(2)            executed copies of IRS Form W–8ECI;</w:t>
      </w:r>
    </w:p>
    <w:p>
      <w:pPr>
        <w:spacing w:after="0" w:line="225" w:lineRule="exact"/>
        <w:rPr>
          <w:sz w:val="20"/>
          <w:szCs w:val="20"/>
          <w:color w:val="auto"/>
        </w:rPr>
      </w:pPr>
    </w:p>
    <w:p>
      <w:pPr>
        <w:jc w:val="both"/>
        <w:ind w:left="14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(3)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L–1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“U.S. </w:t>
      </w:r>
      <w:r>
        <w:rPr>
          <w:rFonts w:ascii="Times New Roman" w:cs="Times New Roman" w:eastAsia="Times New Roman" w:hAnsi="Times New Roman"/>
          <w:sz w:val="18"/>
          <w:szCs w:val="18"/>
          <w:i w:val="1"/>
          <w:iCs w:val="1"/>
          <w:u w:val="single" w:color="auto"/>
          <w:color w:val="auto"/>
        </w:rPr>
        <w:t>Tax Compliance Certificate</w:t>
      </w:r>
      <w:r>
        <w:rPr>
          <w:rFonts w:ascii="Times New Roman" w:cs="Times New Roman" w:eastAsia="Times New Roman" w:hAnsi="Times New Roman"/>
          <w:sz w:val="18"/>
          <w:szCs w:val="18"/>
          <w:color w:val="auto"/>
        </w:rPr>
        <w:t>”) and (y) executed copies of IRS Form W– 8BEN– E (or W–8BEN, as applicable); or</w:t>
      </w:r>
    </w:p>
    <w:p>
      <w:pPr>
        <w:spacing w:after="0" w:line="187" w:lineRule="exact"/>
        <w:rPr>
          <w:sz w:val="20"/>
          <w:szCs w:val="20"/>
          <w:color w:val="auto"/>
        </w:rPr>
      </w:pPr>
    </w:p>
    <w:p>
      <w:pPr>
        <w:jc w:val="both"/>
        <w:ind w:left="14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(4)             to the extent a Foreign Lender is not the beneficial owner, executed copies of IRS Form W–8IMY, accompanied by IRS Form W– 8ECI, IRS Form W–8BEN–E (or W–8BEN, as applicable), a U.S. Tax Compliance Certificate substantially in the form of </w:t>
      </w:r>
      <w:r>
        <w:rPr>
          <w:rFonts w:ascii="Times New Roman" w:cs="Times New Roman" w:eastAsia="Times New Roman" w:hAnsi="Times New Roman"/>
          <w:sz w:val="18"/>
          <w:szCs w:val="18"/>
          <w:u w:val="single" w:color="auto"/>
          <w:color w:val="auto"/>
        </w:rPr>
        <w:t>Exhibit L–2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L–3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L–4</w:t>
      </w:r>
      <w:r>
        <w:rPr>
          <w:rFonts w:ascii="Times New Roman" w:cs="Times New Roman" w:eastAsia="Times New Roman" w:hAnsi="Times New Roman"/>
          <w:sz w:val="18"/>
          <w:szCs w:val="18"/>
          <w:color w:val="auto"/>
        </w:rPr>
        <w:t xml:space="preserve"> on behalf of each such direct and indirect partner;</w:t>
      </w:r>
    </w:p>
    <w:p>
      <w:pPr>
        <w:spacing w:after="0" w:line="189" w:lineRule="exact"/>
        <w:rPr>
          <w:sz w:val="20"/>
          <w:szCs w:val="20"/>
          <w:color w:val="auto"/>
        </w:rPr>
      </w:pPr>
    </w:p>
    <w:p>
      <w:pPr>
        <w:jc w:val="both"/>
        <w:ind w:left="840" w:firstLine="648"/>
        <w:spacing w:after="0" w:line="255"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9" w:lineRule="exact"/>
        <w:rPr>
          <w:sz w:val="20"/>
          <w:szCs w:val="20"/>
          <w:color w:val="auto"/>
        </w:rPr>
      </w:pPr>
    </w:p>
    <w:p>
      <w:pPr>
        <w:jc w:val="both"/>
        <w:ind w:left="840" w:firstLine="648"/>
        <w:spacing w:after="0" w:line="254" w:lineRule="auto"/>
        <w:rPr>
          <w:sz w:val="20"/>
          <w:szCs w:val="20"/>
          <w:color w:val="auto"/>
        </w:rPr>
      </w:pPr>
      <w:r>
        <w:rPr>
          <w:rFonts w:ascii="Times New Roman" w:cs="Times New Roman" w:eastAsia="Times New Roman" w:hAnsi="Times New Roman"/>
          <w:sz w:val="18"/>
          <w:szCs w:val="18"/>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3" w:lineRule="exact"/>
        <w:rPr>
          <w:sz w:val="20"/>
          <w:szCs w:val="20"/>
          <w:color w:val="auto"/>
        </w:rPr>
      </w:pPr>
    </w:p>
    <w:p>
      <w:pPr>
        <w:jc w:val="both"/>
        <w:ind w:left="840" w:hanging="8"/>
        <w:spacing w:after="0" w:line="253" w:lineRule="auto"/>
        <w:tabs>
          <w:tab w:leader="none" w:pos="10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w:t>
      </w:r>
      <w:r>
        <w:rPr>
          <w:rFonts w:ascii="Times New Roman" w:cs="Times New Roman" w:eastAsia="Times New Roman" w:hAnsi="Times New Roman"/>
          <w:sz w:val="18"/>
          <w:szCs w:val="18"/>
          <w:u w:val="single" w:color="auto"/>
          <w:color w:val="auto"/>
        </w:rPr>
        <w:t>clause (f)(ii)(D</w:t>
      </w:r>
      <w:r>
        <w:rPr>
          <w:rFonts w:ascii="Times New Roman" w:cs="Times New Roman" w:eastAsia="Times New Roman" w:hAnsi="Times New Roman"/>
          <w:sz w:val="18"/>
          <w:szCs w:val="18"/>
          <w:color w:val="auto"/>
        </w:rPr>
        <w:t>), “FATCA” shall include any amendments made to FATCA after the date of this Agreement.</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5" w:name="page106"/>
    <w:bookmarkEnd w:id="105"/>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76"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pay to such Loan Party an amount equal to such refund (but only to the extent of indemnity payments made, or additional amounts paid, by such Loan Party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in no event will the applicable Recipient be required to pay any amount to such Loan Party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shall not be construed to require any Recipient to make available its tax returns (or any other information relating to its Taxes that it deems confidential) to any Loan Party or any other Person.</w:t>
      </w:r>
    </w:p>
    <w:p>
      <w:pPr>
        <w:spacing w:after="0" w:line="19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3.02.        </w:t>
      </w:r>
      <w:r>
        <w:rPr>
          <w:rFonts w:ascii="Times New Roman" w:cs="Times New Roman" w:eastAsia="Times New Roman" w:hAnsi="Times New Roman"/>
          <w:sz w:val="18"/>
          <w:szCs w:val="18"/>
          <w:color w:val="auto"/>
        </w:rPr>
        <w:t>Illegality.</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w:t>
      </w:r>
    </w:p>
    <w:p>
      <w:pPr>
        <w:spacing w:after="0" w:line="1"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of such Lender to make or continue Term SOFR Loans or to convert Base Rate Loans to Term SOFR Loans shall be suspended, and</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3.03.       </w:t>
      </w:r>
      <w:r>
        <w:rPr>
          <w:rFonts w:ascii="Times New Roman" w:cs="Times New Roman" w:eastAsia="Times New Roman" w:hAnsi="Times New Roman"/>
          <w:sz w:val="18"/>
          <w:szCs w:val="18"/>
          <w:color w:val="auto"/>
        </w:rPr>
        <w:t>Inability to Determine Rates.</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the circumstances under clause (i) of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 and each Lender.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until the Administrative Agent upon instruction of the Required Lenders) revokes such notice.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Replacement of Term SOFR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80"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6"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18"/>
          <w:szCs w:val="18"/>
          <w:i w:val="1"/>
          <w:iCs w:val="1"/>
          <w:u w:val="single" w:color="auto"/>
          <w:color w:val="auto"/>
        </w:rPr>
        <w:t>Scheduled Unavailability Date</w:t>
      </w:r>
      <w:r>
        <w:rPr>
          <w:rFonts w:ascii="Times New Roman" w:cs="Times New Roman" w:eastAsia="Times New Roman" w:hAnsi="Times New Roman"/>
          <w:sz w:val="18"/>
          <w:szCs w:val="18"/>
          <w:color w:val="auto"/>
        </w:rPr>
        <w:t>”);then, on a date and time determined by the Administrative Agent (any such date, the “</w:t>
      </w:r>
      <w:r>
        <w:rPr>
          <w:rFonts w:ascii="Times New Roman" w:cs="Times New Roman" w:eastAsia="Times New Roman" w:hAnsi="Times New Roman"/>
          <w:sz w:val="18"/>
          <w:szCs w:val="18"/>
          <w:i w:val="1"/>
          <w:iCs w:val="1"/>
          <w:u w:val="single" w:color="auto"/>
          <w:color w:val="auto"/>
        </w:rPr>
        <w:t>Term SOFR Replacement Date</w:t>
      </w:r>
      <w:r>
        <w:rPr>
          <w:rFonts w:ascii="Times New Roman" w:cs="Times New Roman" w:eastAsia="Times New Roman" w:hAnsi="Times New Roman"/>
          <w:sz w:val="18"/>
          <w:szCs w:val="18"/>
          <w:color w:val="auto"/>
        </w:rPr>
        <w:t xml:space="preserv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i w:val="1"/>
          <w:iCs w:val="1"/>
          <w:u w:val="single" w:color="auto"/>
          <w:color w:val="auto"/>
        </w:rPr>
        <w:t>Successor Rate</w:t>
      </w:r>
      <w:r>
        <w:rPr>
          <w:rFonts w:ascii="Times New Roman" w:cs="Times New Roman" w:eastAsia="Times New Roman" w:hAnsi="Times New Roman"/>
          <w:sz w:val="18"/>
          <w:szCs w:val="18"/>
          <w:color w:val="auto"/>
        </w:rPr>
        <w:t>”). If the Successor Rate is Daily Simple SOFR plus the SOFR Adjustment, all interest payments will be payable on a monthly basis.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18"/>
          <w:szCs w:val="18"/>
          <w:u w:val="single" w:color="auto"/>
          <w:color w:val="auto"/>
        </w:rPr>
        <w:t>Section 3.03(b)(i)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Successor Rate then in effect, then in each case, the Administrative Agent and the Borrower may amend this Agreement solely for the purpose of replacing Term SOFR or any then current Successor Rate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Borrower and each Lender of the implementation of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Notwithstanding anything else herein, if at any time any Successor Rate as so determined would otherwise be less than </w:t>
      </w:r>
      <w:r>
        <w:rPr>
          <w:rFonts w:ascii="Times New Roman" w:cs="Times New Roman" w:eastAsia="Times New Roman" w:hAnsi="Times New Roman"/>
          <w:sz w:val="18"/>
          <w:szCs w:val="18"/>
          <w:b w:val="1"/>
          <w:bCs w:val="1"/>
          <w:color w:val="auto"/>
        </w:rPr>
        <w:t>zero</w:t>
      </w:r>
      <w:r>
        <w:rPr>
          <w:rFonts w:ascii="Times New Roman" w:cs="Times New Roman" w:eastAsia="Times New Roman" w:hAnsi="Times New Roman"/>
          <w:sz w:val="18"/>
          <w:szCs w:val="18"/>
          <w:color w:val="auto"/>
        </w:rPr>
        <w:t xml:space="preserve">%, the Successor Rate will be deemed to be </w:t>
      </w:r>
      <w:r>
        <w:rPr>
          <w:rFonts w:ascii="Times New Roman" w:cs="Times New Roman" w:eastAsia="Times New Roman" w:hAnsi="Times New Roman"/>
          <w:sz w:val="18"/>
          <w:szCs w:val="18"/>
          <w:b w:val="1"/>
          <w:bCs w:val="1"/>
          <w:color w:val="auto"/>
        </w:rPr>
        <w:t>zero</w:t>
      </w:r>
      <w:r>
        <w:rPr>
          <w:rFonts w:ascii="Times New Roman" w:cs="Times New Roman" w:eastAsia="Times New Roman" w:hAnsi="Times New Roman"/>
          <w:sz w:val="18"/>
          <w:szCs w:val="18"/>
          <w:color w:val="auto"/>
        </w:rPr>
        <w:t>% for the purposes of this Agreement and the other Loan Documents.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those Lenders that either have not made, or do not have an obligation under this Agreement to make, the relevant Loans in Dollars shall be excluded from any determination of Required Lenders.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3.04.       </w:t>
      </w:r>
      <w:r>
        <w:rPr>
          <w:rFonts w:ascii="Times New Roman" w:cs="Times New Roman" w:eastAsia="Times New Roman" w:hAnsi="Times New Roman"/>
          <w:sz w:val="18"/>
          <w:szCs w:val="18"/>
          <w:color w:val="auto"/>
        </w:rPr>
        <w:t>Increased Costs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Increased Costs Generally</w:t>
      </w:r>
      <w:r>
        <w:rPr>
          <w:rFonts w:ascii="Times New Roman" w:cs="Times New Roman" w:eastAsia="Times New Roman" w:hAnsi="Times New Roman"/>
          <w:sz w:val="18"/>
          <w:szCs w:val="18"/>
          <w:color w:val="auto"/>
        </w:rPr>
        <w:t>. If any Change in Law shall:</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 w:cs="Times New Roman" w:eastAsia="Times New Roman" w:hAnsi="Times New Roman"/>
          <w:sz w:val="18"/>
          <w:szCs w:val="18"/>
          <w:u w:val="single" w:color="auto"/>
          <w:color w:val="auto"/>
        </w:rPr>
        <w:t>Section 3.04(e</w:t>
      </w:r>
      <w:r>
        <w:rPr>
          <w:rFonts w:ascii="Times New Roman" w:cs="Times New Roman" w:eastAsia="Times New Roman" w:hAnsi="Times New Roman"/>
          <w:sz w:val="18"/>
          <w:szCs w:val="18"/>
          <w:color w:val="auto"/>
        </w:rPr>
        <w:t>)) or the L/C Issuer;</w:t>
      </w:r>
    </w:p>
    <w:p>
      <w:pPr>
        <w:spacing w:after="0" w:line="176"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subject any Recipient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76"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(iii)             impose on any Lender or the L/C Issuer any other condition, cost or expense affecting this Agreement or Term SOFR Loans made by such Lender or any Letter of Credit or participation therein; 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Capital Requirements</w:t>
      </w:r>
      <w:r>
        <w:rPr>
          <w:rFonts w:ascii="Times New Roman" w:cs="Times New Roman" w:eastAsia="Times New Roman" w:hAnsi="Times New Roman"/>
          <w:sz w:val="17"/>
          <w:szCs w:val="17"/>
          <w:color w:val="auto"/>
        </w:rPr>
        <w:t xml:space="preserve">.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w:t>
      </w:r>
      <w:r>
        <w:rPr>
          <w:rFonts w:ascii="Times New Roman" w:cs="Times New Roman" w:eastAsia="Times New Roman" w:hAnsi="Times New Roman"/>
          <w:sz w:val="17"/>
          <w:szCs w:val="17"/>
          <w:color w:val="FF0000"/>
          <w:strike w:val="1"/>
        </w:rPr>
        <w:t>or Swingline Loans</w:t>
      </w:r>
      <w:r>
        <w:rPr>
          <w:rFonts w:ascii="Times New Roman" w:cs="Times New Roman" w:eastAsia="Times New Roman" w:hAnsi="Times New Roman"/>
          <w:sz w:val="17"/>
          <w:szCs w:val="17"/>
          <w:color w:val="auto"/>
        </w:rPr>
        <w:t xml:space="preserve">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Certificates for Reimbursement</w:t>
      </w:r>
      <w:r>
        <w:rPr>
          <w:rFonts w:ascii="Times New Roman" w:cs="Times New Roman" w:eastAsia="Times New Roman" w:hAnsi="Times New Roman"/>
          <w:sz w:val="18"/>
          <w:szCs w:val="18"/>
          <w:color w:val="auto"/>
        </w:rPr>
        <w:t xml:space="preserve">. A certificate of a Lender or the L/C Issuer setting forth the amount or amounts necessary to compensate such Lender or the L/C Issuer or its holding company, as the case may be, as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(b)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delivered to the Borrower shall be conclusive absent manifest error. The Borrower shall pay such Lender or the L/C Issuer, as the case may be, the amount shown as due on any such certificate within ten (10) days after receipt thereof.</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Delay in Requests</w:t>
      </w:r>
      <w:r>
        <w:rPr>
          <w:rFonts w:ascii="Times New Roman" w:cs="Times New Roman" w:eastAsia="Times New Roman" w:hAnsi="Times New Roman"/>
          <w:sz w:val="18"/>
          <w:szCs w:val="18"/>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not constitute a waiver of such Lender’s or the L/C Issuer’s right to demand such compensation,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Borrower shall not be required to compensate a Lender or the L/C Issuer pursuant to the foregoing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for any increased costs incurred or reductions suffered more than nine (9)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General Policy</w:t>
      </w:r>
      <w:r>
        <w:rPr>
          <w:rFonts w:ascii="Times New Roman" w:cs="Times New Roman" w:eastAsia="Times New Roman" w:hAnsi="Times New Roman"/>
          <w:sz w:val="18"/>
          <w:szCs w:val="18"/>
          <w:color w:val="auto"/>
        </w:rPr>
        <w:t>. Notwithstanding any other provision of this Section, no Lender or L/C Issuer shall demand compensation for any increased cost or reduction pursuant to this Section if it shall not at the time be the general policy and practice of such Lender or L/C Issuer to demand such compensation from similarly situated customers of such Lender or L/C Issuer in similar circumstances under comparable provisions of other credit agreements.</w:t>
      </w:r>
    </w:p>
    <w:p>
      <w:pPr>
        <w:spacing w:after="0" w:line="39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0" w:name="page111"/>
    <w:bookmarkEnd w:id="110"/>
    <w:p>
      <w:pPr>
        <w:ind w:left="660"/>
        <w:spacing w:after="0"/>
        <w:rPr>
          <w:sz w:val="20"/>
          <w:szCs w:val="20"/>
          <w:color w:val="auto"/>
        </w:rPr>
      </w:pPr>
      <w:r>
        <w:rPr>
          <w:rFonts w:ascii="Times New Roman" w:cs="Times New Roman" w:eastAsia="Times New Roman" w:hAnsi="Times New Roman"/>
          <w:sz w:val="18"/>
          <w:szCs w:val="18"/>
          <w:b w:val="1"/>
          <w:bCs w:val="1"/>
          <w:color w:val="auto"/>
        </w:rPr>
        <w:t>3.05.</w:t>
      </w:r>
      <w:r>
        <w:rPr>
          <w:rFonts w:ascii="Times New Roman" w:cs="Times New Roman" w:eastAsia="Times New Roman" w:hAnsi="Times New Roman"/>
          <w:sz w:val="18"/>
          <w:szCs w:val="18"/>
          <w:color w:val="auto"/>
        </w:rPr>
        <w:t>       Compensation for Losses.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any continuation, conversion, payment or prepayment of any Loan other than a Base Rate Loan on a day other than the last day of the Interest Period for such Loan (whether voluntary, mandatory, automatic, by reason of acceleration, or otherwise);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any failure by the Borrower (for a reason other than the failure of such Lender to make a Loan) to prepay, borrow, continue or convert any Loan other than a Base Rate Loan on the date or in the amount notified by the Borrower; or</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any assignment of a Term SOFR Loan on a day other than the last day of the Interest Period therefor as a result of a request by the Borrower pursuant to Section 11.13; 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3.06.       </w:t>
      </w:r>
      <w:r>
        <w:rPr>
          <w:rFonts w:ascii="Times New Roman" w:cs="Times New Roman" w:eastAsia="Times New Roman" w:hAnsi="Times New Roman"/>
          <w:sz w:val="18"/>
          <w:szCs w:val="18"/>
          <w:color w:val="auto"/>
        </w:rPr>
        <w:t>Mitigation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of Lenders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requires the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94"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the Borrower may replace such Lender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3.07. </w:t>
      </w:r>
      <w:r>
        <w:rPr>
          <w:rFonts w:ascii="Times New Roman" w:cs="Times New Roman" w:eastAsia="Times New Roman" w:hAnsi="Times New Roman"/>
          <w:sz w:val="18"/>
          <w:szCs w:val="18"/>
          <w:color w:val="auto"/>
        </w:rPr>
        <w:t>      Survival.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All of the Borrower’s obligations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termination of the Aggregate Commitments, repayment of all other Obligations hereunder, resignation of the Administrative Agent and the Facility Termination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CONDITIONS PRECEDENT TO CREDIT EXTENSIONS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4.01.       </w:t>
      </w:r>
      <w:r>
        <w:rPr>
          <w:rFonts w:ascii="Times New Roman" w:cs="Times New Roman" w:eastAsia="Times New Roman" w:hAnsi="Times New Roman"/>
          <w:sz w:val="18"/>
          <w:szCs w:val="18"/>
          <w:color w:val="auto"/>
        </w:rPr>
        <w:t>Conditions of Initial Credit Extension.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obligation of the L/C Issuer and each Lender to make its initial Credit Extension hereunder is subject to satisfaction of the following conditions precedent:</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Execution of Credit Agreement; Loan Documents</w:t>
      </w:r>
      <w:r>
        <w:rPr>
          <w:rFonts w:ascii="Times New Roman" w:cs="Times New Roman" w:eastAsia="Times New Roman" w:hAnsi="Times New Roman"/>
          <w:sz w:val="18"/>
          <w:szCs w:val="18"/>
          <w:color w:val="auto"/>
        </w:rPr>
        <w:t>. The Administrative Agent shall have received (i) counterparts of this Agreement, executed by a Responsible Officer of each Loan Party and a duly authorized officer of each Lender, (ii) for the account of each Lender requesting a Note, a Note executed by a Responsible Officer of the Borrower, (iii) counterparts of the Security Agreement executed by a Responsible Officer of the U.S. Loan Parties and each other Collateral Document duly executed by the applicable U.S. Loan Parties and each other Person party thereto, as applicable and (iv) counterparts of any other Loan Document, executed by a Responsible Officer of the applicable Loan Party and a duly authorized officer of each other Person party thereto.</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Officer’s Certificate</w:t>
      </w:r>
      <w:r>
        <w:rPr>
          <w:rFonts w:ascii="Times New Roman" w:cs="Times New Roman" w:eastAsia="Times New Roman" w:hAnsi="Times New Roman"/>
          <w:sz w:val="18"/>
          <w:szCs w:val="18"/>
          <w:color w:val="auto"/>
        </w:rPr>
        <w:t>. The Administrative Agent shall have received a certificate of a Responsible Officer dated the Closing Date, certifying as to the Organization Documents of each Loan Party (which, to the extent filed with a Governmental Authority, shall be certified as of a recent date by such Governmental Authority), the resolutions of the governing body of each Loan Party, the good standing, existence or its equivalent of each Loan Party and of the incumbency (including specimen signatures) of the Responsible Officers of each Loan Party</w:t>
      </w:r>
    </w:p>
    <w:p>
      <w:pPr>
        <w:spacing w:after="0" w:line="180"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Legal Opinions of Counsel</w:t>
      </w:r>
      <w:r>
        <w:rPr>
          <w:rFonts w:ascii="Times New Roman" w:cs="Times New Roman" w:eastAsia="Times New Roman" w:hAnsi="Times New Roman"/>
          <w:sz w:val="18"/>
          <w:szCs w:val="18"/>
          <w:color w:val="auto"/>
        </w:rPr>
        <w:t>. The Administrative Agent shall have received an opinion or opinions (including, if requested by the Administrative Agent, local counsel opinions) of counsel for the Loan Parties, dated the Closing Date and addressed to the Administrative Agent and the Lenders, in form and substance reasonably acceptable to the Administrative Agent.</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 xml:space="preserve">. The Administrative Agent and the Lenders shall have received copies of the financial statements referred to in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Personal Property Collateral</w:t>
      </w:r>
      <w:r>
        <w:rPr>
          <w:rFonts w:ascii="Times New Roman" w:cs="Times New Roman" w:eastAsia="Times New Roman" w:hAnsi="Times New Roman"/>
          <w:sz w:val="18"/>
          <w:szCs w:val="18"/>
          <w:color w:val="auto"/>
        </w:rPr>
        <w:t>. The Administrative Agent shall have received, in form and substance reasonably satisfactory to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Perfection Certificate with respect to the Loan Parties duly executed by a Responsible Officer of the Borrower;</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             (A) searches of UCC filings in the jurisdiction of incorporation or formation, as applicable, of each Loan Party and each jurisdiction where any Collateral is located or where a filing would need to be made in order to perfect the Administrative Agent’s security interest in the Collateral, copies of the financing statements on file in such jurisdictions and evidence that no Liens exist other than Permitted Liens and (B) tax lien, judgment and bankruptcy searches;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both"/>
        <w:ind w:left="1240" w:firstLine="648"/>
        <w:spacing w:after="0" w:line="266" w:lineRule="auto"/>
        <w:rPr>
          <w:sz w:val="20"/>
          <w:szCs w:val="20"/>
          <w:color w:val="auto"/>
        </w:rPr>
      </w:pPr>
      <w:r>
        <w:rPr>
          <w:rFonts w:ascii="Times New Roman" w:cs="Times New Roman" w:eastAsia="Times New Roman" w:hAnsi="Times New Roman"/>
          <w:sz w:val="18"/>
          <w:szCs w:val="18"/>
          <w:color w:val="auto"/>
        </w:rPr>
        <w:t>(iii)            searches of ownership of Intellectual Property in the appropriate governmental offices and such patent/trademark/copyright filings as requested by the Administrative Agent in order to perfect the Administrative Agent’s security interest in the Intellectual Property;</w:t>
      </w:r>
    </w:p>
    <w:p>
      <w:pPr>
        <w:spacing w:after="0" w:line="176" w:lineRule="exact"/>
        <w:rPr>
          <w:sz w:val="20"/>
          <w:szCs w:val="20"/>
          <w:color w:val="auto"/>
        </w:rPr>
      </w:pPr>
    </w:p>
    <w:p>
      <w:pPr>
        <w:jc w:val="both"/>
        <w:ind w:left="1240" w:right="20" w:firstLine="648"/>
        <w:spacing w:after="0" w:line="282" w:lineRule="auto"/>
        <w:rPr>
          <w:sz w:val="20"/>
          <w:szCs w:val="20"/>
          <w:color w:val="auto"/>
        </w:rPr>
      </w:pPr>
      <w:r>
        <w:rPr>
          <w:rFonts w:ascii="Times New Roman" w:cs="Times New Roman" w:eastAsia="Times New Roman" w:hAnsi="Times New Roman"/>
          <w:sz w:val="18"/>
          <w:szCs w:val="18"/>
          <w:color w:val="auto"/>
        </w:rPr>
        <w:t>(iv)            completed UCC financing statements for each appropriate jurisdiction as is necessary, in the Administrative Agent’s reasonable discretion, to perfect the Administrative Agent’s security interest in the Collateral;</w:t>
      </w:r>
    </w:p>
    <w:p>
      <w:pPr>
        <w:spacing w:after="0" w:line="162" w:lineRule="exact"/>
        <w:rPr>
          <w:sz w:val="20"/>
          <w:szCs w:val="20"/>
          <w:color w:val="auto"/>
        </w:rPr>
      </w:pPr>
    </w:p>
    <w:p>
      <w:pPr>
        <w:jc w:val="both"/>
        <w:ind w:left="1240" w:right="20" w:firstLine="648"/>
        <w:spacing w:after="0" w:line="282" w:lineRule="auto"/>
        <w:rPr>
          <w:sz w:val="20"/>
          <w:szCs w:val="20"/>
          <w:color w:val="auto"/>
        </w:rPr>
      </w:pPr>
      <w:r>
        <w:rPr>
          <w:rFonts w:ascii="Times New Roman" w:cs="Times New Roman" w:eastAsia="Times New Roman" w:hAnsi="Times New Roman"/>
          <w:sz w:val="18"/>
          <w:szCs w:val="18"/>
          <w:color w:val="auto"/>
        </w:rPr>
        <w:t>(v)             stock or membership certificates, if any, evidencing the Pledged Equity and undated stock or transfer powers duly executed in blank; in each case to the extent such Pledged Equity is certificated; and</w:t>
      </w:r>
    </w:p>
    <w:p>
      <w:pPr>
        <w:spacing w:after="0" w:line="162" w:lineRule="exact"/>
        <w:rPr>
          <w:sz w:val="20"/>
          <w:szCs w:val="20"/>
          <w:color w:val="auto"/>
        </w:rPr>
      </w:pPr>
    </w:p>
    <w:p>
      <w:pPr>
        <w:jc w:val="both"/>
        <w:ind w:left="1240" w:firstLine="648"/>
        <w:spacing w:after="0" w:line="261" w:lineRule="auto"/>
        <w:rPr>
          <w:sz w:val="20"/>
          <w:szCs w:val="20"/>
          <w:color w:val="auto"/>
        </w:rPr>
      </w:pPr>
      <w:r>
        <w:rPr>
          <w:rFonts w:ascii="Times New Roman" w:cs="Times New Roman" w:eastAsia="Times New Roman" w:hAnsi="Times New Roman"/>
          <w:sz w:val="18"/>
          <w:szCs w:val="18"/>
          <w:color w:val="auto"/>
        </w:rPr>
        <w:t>(vi)            to the extent required to be delivered, filed, registered or recorded pursuant to the terms and conditions of the Collateral Documents, all instruments, documents and chattel paper in the possession of any of the Loan Parties, together with allonges or assignments as may be necessary or appropriate to create and perfect the Administrative Agent’s and the Lenders’ security interest in the Collateral.</w:t>
      </w:r>
    </w:p>
    <w:p>
      <w:pPr>
        <w:spacing w:after="0" w:line="180" w:lineRule="exact"/>
        <w:rPr>
          <w:sz w:val="20"/>
          <w:szCs w:val="20"/>
          <w:color w:val="auto"/>
        </w:rPr>
      </w:pPr>
    </w:p>
    <w:p>
      <w:pPr>
        <w:jc w:val="both"/>
        <w:ind w:left="600" w:firstLine="648"/>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Administrative Agent shall have received certificates of insurance or insurance binders evidencing liability, casualty, property, and business interruption insurance meeting the requirements set forth herein or in the Collateral Documents.</w:t>
      </w:r>
    </w:p>
    <w:p>
      <w:pPr>
        <w:spacing w:after="0" w:line="162" w:lineRule="exact"/>
        <w:rPr>
          <w:sz w:val="20"/>
          <w:szCs w:val="20"/>
          <w:color w:val="auto"/>
        </w:rPr>
      </w:pPr>
    </w:p>
    <w:p>
      <w:pPr>
        <w:jc w:val="both"/>
        <w:ind w:left="600" w:firstLine="648"/>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Solvency Certificate</w:t>
      </w:r>
      <w:r>
        <w:rPr>
          <w:rFonts w:ascii="Times New Roman" w:cs="Times New Roman" w:eastAsia="Times New Roman" w:hAnsi="Times New Roman"/>
          <w:sz w:val="18"/>
          <w:szCs w:val="18"/>
          <w:color w:val="auto"/>
        </w:rPr>
        <w:t>. The Administrative Agent shall have received a Solvency Certificate signed by a Responsible Officer of the Borrower as to the financial condition, solvency and related matters of the Borrower and its Subsidiaries, after giving effect to the initial Borrowings under the Loan Documents and the other transactions contemplated hereby.</w:t>
      </w:r>
    </w:p>
    <w:p>
      <w:pPr>
        <w:spacing w:after="0" w:line="176" w:lineRule="exact"/>
        <w:rPr>
          <w:sz w:val="20"/>
          <w:szCs w:val="20"/>
          <w:color w:val="auto"/>
        </w:rPr>
      </w:pPr>
    </w:p>
    <w:p>
      <w:pPr>
        <w:jc w:val="both"/>
        <w:ind w:left="600" w:firstLine="648"/>
        <w:spacing w:after="0" w:line="28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Closing Certificate</w:t>
      </w:r>
      <w:r>
        <w:rPr>
          <w:rFonts w:ascii="Times New Roman" w:cs="Times New Roman" w:eastAsia="Times New Roman" w:hAnsi="Times New Roman"/>
          <w:sz w:val="18"/>
          <w:szCs w:val="18"/>
          <w:color w:val="auto"/>
        </w:rPr>
        <w:t xml:space="preserve">. The Administrative Agent shall have received a certificate, dated the Closing Date and signed by a Responsible Officer of the Borrower, confirming compliance with the provisions of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Loan Notice</w:t>
      </w:r>
      <w:r>
        <w:rPr>
          <w:rFonts w:ascii="Times New Roman" w:cs="Times New Roman" w:eastAsia="Times New Roman" w:hAnsi="Times New Roman"/>
          <w:sz w:val="18"/>
          <w:szCs w:val="18"/>
          <w:color w:val="auto"/>
        </w:rPr>
        <w:t>. The Administrative Agent shall have received a Loan Notice with respect to the Loans to be made on the Closing</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00" w:firstLine="648"/>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Existing Indebtedness of the Loan Parties</w:t>
      </w:r>
      <w:r>
        <w:rPr>
          <w:rFonts w:ascii="Times New Roman" w:cs="Times New Roman" w:eastAsia="Times New Roman" w:hAnsi="Times New Roman"/>
          <w:sz w:val="18"/>
          <w:szCs w:val="18"/>
          <w:color w:val="auto"/>
        </w:rPr>
        <w:t xml:space="preserve">. All of the existing Indebtedness for borrowed money of the Borrower and its Restricted Subsidiaries (other than Indebtedness permitted to exist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)(but including the Indebtedness under the Existing Term Loan Credit Agreement and the Existing ABL Credit Agreement) shall be repaid in full and all security interests related thereto shall be terminated on or prior to the Closing Date.</w:t>
      </w:r>
    </w:p>
    <w:p>
      <w:pPr>
        <w:spacing w:after="0" w:line="189" w:lineRule="exact"/>
        <w:rPr>
          <w:sz w:val="20"/>
          <w:szCs w:val="20"/>
          <w:color w:val="auto"/>
        </w:rPr>
      </w:pPr>
    </w:p>
    <w:p>
      <w:pPr>
        <w:jc w:val="both"/>
        <w:ind w:left="600" w:firstLine="648"/>
        <w:spacing w:after="0" w:line="258"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Anti-Money-Laundering; Beneficial Ownership</w:t>
      </w:r>
      <w:r>
        <w:rPr>
          <w:rFonts w:ascii="Times New Roman" w:cs="Times New Roman" w:eastAsia="Times New Roman" w:hAnsi="Times New Roman"/>
          <w:sz w:val="18"/>
          <w:szCs w:val="18"/>
          <w:color w:val="auto"/>
        </w:rPr>
        <w:t>. Upon the reasonable request of any Lender,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w:t>
      </w:r>
    </w:p>
    <w:p>
      <w:pPr>
        <w:spacing w:after="0" w:line="3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13" w:name="page114"/>
    <w:bookmarkEnd w:id="113"/>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Consents</w:t>
      </w:r>
      <w:r>
        <w:rPr>
          <w:rFonts w:ascii="Times New Roman" w:cs="Times New Roman" w:eastAsia="Times New Roman" w:hAnsi="Times New Roman"/>
          <w:sz w:val="18"/>
          <w:szCs w:val="18"/>
          <w:color w:val="auto"/>
        </w:rPr>
        <w:t>. The Administrative Agent shall have received evidence that all members, boards of directors, governmental, shareholder and material third party consents and approvals necessary in connection with the entering into of this Agreement have been obtained.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xml:space="preserve">. The Administrative Agent and the Lenders shall have received all fees and expenses, if any, owing pursuant to the Fee Letter and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Equity Contribution</w:t>
      </w:r>
      <w:r>
        <w:rPr>
          <w:rFonts w:ascii="Times New Roman" w:cs="Times New Roman" w:eastAsia="Times New Roman" w:hAnsi="Times New Roman"/>
          <w:sz w:val="18"/>
          <w:szCs w:val="18"/>
          <w:color w:val="auto"/>
        </w:rPr>
        <w:t>. The Lenders shall have received evidence that the Borrower has received cash proceeds of at least $100,000,000 from the issuance of common and/or preferred stock (and in the case of any preferred stock, such preferred stock shall be on terms reasonably acceptable to the Administrative Agent).</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Loan Purchase Agreement</w:t>
      </w:r>
      <w:r>
        <w:rPr>
          <w:rFonts w:ascii="Times New Roman" w:cs="Times New Roman" w:eastAsia="Times New Roman" w:hAnsi="Times New Roman"/>
          <w:sz w:val="18"/>
          <w:szCs w:val="18"/>
          <w:color w:val="auto"/>
        </w:rPr>
        <w:t>. The Administrative Agent shall have received a counterpart of the Loan Purchase Agreement duly executed by AEPC, and acknowledged by the Borrower.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w:t>
      </w:r>
      <w:r>
        <w:rPr>
          <w:rFonts w:ascii="Times New Roman" w:cs="Times New Roman" w:eastAsia="Times New Roman" w:hAnsi="Times New Roman"/>
          <w:sz w:val="18"/>
          <w:szCs w:val="18"/>
          <w:u w:val="single" w:color="auto"/>
          <w:color w:val="auto"/>
        </w:rPr>
        <w:t>Section 9.03(c</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4.02.       </w:t>
      </w:r>
      <w:r>
        <w:rPr>
          <w:rFonts w:ascii="Times New Roman" w:cs="Times New Roman" w:eastAsia="Times New Roman" w:hAnsi="Times New Roman"/>
          <w:sz w:val="18"/>
          <w:szCs w:val="18"/>
          <w:color w:val="auto"/>
        </w:rPr>
        <w:t>Conditions to all Credit Extensions.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 of each Lender and the L/C Issuer to honor any Request for Credit Extension (other than a Loan Notice requesting only a conversion of Loans to the other Type, or a continuation of Term SOFR Loans) is subject to the following conditions precedent:</w:t>
      </w:r>
    </w:p>
    <w:p>
      <w:pPr>
        <w:spacing w:after="0" w:line="16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xml:space="preserve">. 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shall (i) with respect to representations and warranties that contain a materiality qualification, be true and correct on and as of the date of such Credit Extension and (ii) with respect to representations and warranties that do not contain a materiality qualification, be true and correct in all material respects on and as of the date of such Credit Extension, except to the extent that such representations and warranties specifically refer to an earlier date, in which case they shall be true and correct in all material respects (except that such materiality qualifiers shall not be applicable to any representations and warranties that already are qualified by materiality in the text thereof) as of such earlier date, and except that for purposes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Sections 5.05(a</w:t>
      </w:r>
      <w:r>
        <w:rPr>
          <w:rFonts w:ascii="Times New Roman" w:cs="Times New Roman" w:eastAsia="Times New Roman" w:hAnsi="Times New Roman"/>
          <w:sz w:val="18"/>
          <w:szCs w:val="18"/>
          <w:color w:val="auto"/>
        </w:rPr>
        <w:t xml:space="preserve">) and (b) shall be deemed to refer to the most recent statements furnished pursuant to </w:t>
      </w:r>
      <w:r>
        <w:rPr>
          <w:rFonts w:ascii="Times New Roman" w:cs="Times New Roman" w:eastAsia="Times New Roman" w:hAnsi="Times New Roman"/>
          <w:sz w:val="18"/>
          <w:szCs w:val="18"/>
          <w:u w:val="single" w:color="auto"/>
          <w:color w:val="auto"/>
        </w:rPr>
        <w:t>Sections 6.04(a</w:t>
      </w:r>
      <w:r>
        <w:rPr>
          <w:rFonts w:ascii="Times New Roman" w:cs="Times New Roman" w:eastAsia="Times New Roman" w:hAnsi="Times New Roman"/>
          <w:sz w:val="18"/>
          <w:szCs w:val="18"/>
          <w:color w:val="auto"/>
        </w:rPr>
        <w:t>) and (b), respectively.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w:t>
      </w:r>
      <w:r>
        <w:rPr>
          <w:rFonts w:ascii="Times New Roman" w:cs="Times New Roman" w:eastAsia="Times New Roman" w:hAnsi="Times New Roman"/>
          <w:sz w:val="18"/>
          <w:szCs w:val="18"/>
          <w:color w:val="auto"/>
        </w:rPr>
        <w:t>. No Default shall exist, or would result from such proposed Credit Extension or from the application of the proceeds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thereof.</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Request for Credit Extension</w:t>
      </w:r>
      <w:r>
        <w:rPr>
          <w:rFonts w:ascii="Times New Roman" w:cs="Times New Roman" w:eastAsia="Times New Roman" w:hAnsi="Times New Roman"/>
          <w:sz w:val="18"/>
          <w:szCs w:val="18"/>
          <w:color w:val="auto"/>
        </w:rPr>
        <w:t xml:space="preserve">. The Administrative Agent and, if applicable, the L/C Issuer </w:t>
      </w:r>
      <w:r>
        <w:rPr>
          <w:rFonts w:ascii="Times New Roman" w:cs="Times New Roman" w:eastAsia="Times New Roman" w:hAnsi="Times New Roman"/>
          <w:sz w:val="18"/>
          <w:szCs w:val="18"/>
          <w:color w:val="FF0000"/>
          <w:strike w:val="1"/>
        </w:rPr>
        <w:t>or the Swingline Lender</w:t>
      </w:r>
      <w:r>
        <w:rPr>
          <w:rFonts w:ascii="Times New Roman" w:cs="Times New Roman" w:eastAsia="Times New Roman" w:hAnsi="Times New Roman"/>
          <w:sz w:val="18"/>
          <w:szCs w:val="18"/>
          <w:color w:val="auto"/>
        </w:rPr>
        <w:t xml:space="preserve"> shall have received a Request for Credit Extension in accordance with the requirements hereof.</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(d) </w:t>
      </w:r>
      <w:r>
        <w:rPr>
          <w:rFonts w:ascii="Times New Roman" w:cs="Times New Roman" w:eastAsia="Times New Roman" w:hAnsi="Times New Roman"/>
          <w:sz w:val="18"/>
          <w:szCs w:val="18"/>
          <w:color w:val="0000FF"/>
        </w:rPr>
        <w:t>         </w:t>
      </w:r>
      <w:r>
        <w:rPr>
          <w:rFonts w:ascii="Times New Roman" w:cs="Times New Roman" w:eastAsia="Times New Roman" w:hAnsi="Times New Roman"/>
          <w:sz w:val="18"/>
          <w:szCs w:val="18"/>
          <w:u w:val="single" w:color="auto"/>
          <w:color w:val="0000FF"/>
        </w:rPr>
        <w:t>  Maximum Cash. After giving pro forma effect to the requested Credit Extension and the use of proceeds within five (5) Business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Days thereof, the aggregate amount of unrestricted cash and Cash Equivalents held by U.S. Loan Parties shall not exceed $10,000,000.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-168275</wp:posOffset>
            </wp:positionV>
            <wp:extent cx="1333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and (b) have been satisfied on and as of the date of the applicable Credit Extension.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Loan Party represents and warrants to the Administrative Agent and the Lenders, as of the date made or deemed made, that: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5.01. </w:t>
      </w:r>
      <w:r>
        <w:rPr>
          <w:rFonts w:ascii="Times New Roman" w:cs="Times New Roman" w:eastAsia="Times New Roman" w:hAnsi="Times New Roman"/>
          <w:sz w:val="18"/>
          <w:szCs w:val="18"/>
          <w:color w:val="auto"/>
        </w:rPr>
        <w:t>      Organization; Power.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Loan Party and each of the Restricted Subsidiaries (a) is duly organized, validly existing and in good standing under the laws of the jurisdiction of its incorporation or organization, (b) has all requisite power and authority to own its property and assets and to carry on its business as now conducted, (c) is qualified to do business in, and is in good standing (where such concept is relevant) in, every jurisdiction where such qualification is required, except where the failure so to qualify could not reasonably be expected to result in a Material Adverse Effect, and (d) has the power and authority to execute, deliver and perform its obligations under each of the Loan Documents and each other agreement or instrument contemplated thereby to which it is a party and, in the case of the Borrower, to borrow hereunder, in the case of each U.S. Loan Party, to grant the Liens contemplated to be granted by it under the Collateral Documents, and in the case of each Guarantor, to Guarantee the Obligations as contemplated by Article X hereof.</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5.02. </w:t>
      </w:r>
      <w:r>
        <w:rPr>
          <w:rFonts w:ascii="Times New Roman" w:cs="Times New Roman" w:eastAsia="Times New Roman" w:hAnsi="Times New Roman"/>
          <w:sz w:val="18"/>
          <w:szCs w:val="18"/>
          <w:color w:val="auto"/>
        </w:rPr>
        <w:t>      Authorization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Conflict.</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Loan Documents (a) have been duly authorized by all requisite corporate, limited liability company, partnership or other organizational and, if required, stockholder action, and (b) will not (i) violate (A) any provision of law, statute, rule or regulation, except as would not reasonably be expected to have a Material Adverse Effect, (B) the Organization Documents of any Loan Party or any Restricted Subsidiary (other than any Immaterial Subsidiary),</w:t>
      </w:r>
    </w:p>
    <w:p>
      <w:pPr>
        <w:spacing w:after="0" w:line="1" w:lineRule="exact"/>
        <w:rPr>
          <w:sz w:val="20"/>
          <w:szCs w:val="20"/>
          <w:color w:val="auto"/>
        </w:rPr>
      </w:pPr>
    </w:p>
    <w:p>
      <w:pPr>
        <w:jc w:val="both"/>
        <w:ind w:firstLine="8"/>
        <w:spacing w:after="0" w:line="251" w:lineRule="auto"/>
        <w:tabs>
          <w:tab w:leader="none" w:pos="2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order of any applicable Governmental Authority except as would not reasonably be expected to have a Material Adverse Effect, (D) any material provision of any material indenture, agreement or other instrument to which any Loan Party or any Restricted Subsidiary (other than any Immaterial Subsidiary or Foreign Subsidiary) is a party or by which any of them or any of their property is or may be bound, or (E) any provision of any indenture, agreement or other instrument to which any Foreign Subsidiary (other than any Immaterial Subsidiary) is a party or by which any of them or any of their property is or may be bound except as would not reasonably be expected to have a Material Adverse Effect, (ii) be in conflict with, result in a breach of or constitute (alone or with notice or lapse of time or both) a default under, or give rise to any right to accelerate or to require the prepayment, repurchase or redemption of any material obligation under any such material indenture, agreement or other instrument that (other than with respect to the Loan Documents) could reasonably be expected to result in a Material Adverse Effect, or (iii) result in the creation or imposition of any Lien upon or with respect to any material property or material assets now owned or hereafter acquired by any Loan Party or any Restricted Subsidiary (other than any Immaterial Subsidiary) (other than any Lien created hereunder or under the Collateral Documents or as expressly permitted hereunder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that (other than with respect to the Loan Documents) could reasonably be expected to result in a Material Adverse Effect.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5.03.        </w:t>
      </w:r>
      <w:r>
        <w:rPr>
          <w:rFonts w:ascii="Times New Roman" w:cs="Times New Roman" w:eastAsia="Times New Roman" w:hAnsi="Times New Roman"/>
          <w:sz w:val="18"/>
          <w:szCs w:val="18"/>
          <w:color w:val="auto"/>
        </w:rPr>
        <w:t>Enforceability.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has been duly executed and delivered by the Loan Parties and constitutes, and each other Loan Document when executed and delivered by each Loan Party thereto will constitute a legal, valid and binding obligation of such Loan Party enforceable against such Loan Party in accordance with its terms (subject, in each case, to bankruptcy, insolvency, reorganization, moratorium and similar laws relating to or affecting creditors’ rights generally and general principles of equity).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5.04.        </w:t>
      </w:r>
      <w:r>
        <w:rPr>
          <w:rFonts w:ascii="Times New Roman" w:cs="Times New Roman" w:eastAsia="Times New Roman" w:hAnsi="Times New Roman"/>
          <w:sz w:val="18"/>
          <w:szCs w:val="18"/>
          <w:color w:val="auto"/>
        </w:rPr>
        <w:t>Governmental Approvals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5.04</w:t>
      </w:r>
      <w:r>
        <w:rPr>
          <w:rFonts w:ascii="Times New Roman" w:cs="Times New Roman" w:eastAsia="Times New Roman" w:hAnsi="Times New Roman"/>
          <w:sz w:val="18"/>
          <w:szCs w:val="18"/>
          <w:color w:val="auto"/>
        </w:rPr>
        <w:t>, no action, consent, ruling, order, license, authorization or approval of, registration or filing with, or any other action by any Governmental Authority is or will be required to enter into the Loan Documents, borrow funds in connection therewith, Guarantee the Obligations and grant Liens pursuant to the Collateral Documents except for such as have been made or obtained and are in full force and effect.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5.05. </w:t>
      </w:r>
      <w:r>
        <w:rPr>
          <w:rFonts w:ascii="Times New Roman" w:cs="Times New Roman" w:eastAsia="Times New Roman" w:hAnsi="Times New Roman"/>
          <w:sz w:val="18"/>
          <w:szCs w:val="18"/>
          <w:color w:val="auto"/>
        </w:rPr>
        <w:t>       Financial Statements.</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Historical Financial Statements</w:t>
      </w:r>
      <w:r>
        <w:rPr>
          <w:rFonts w:ascii="Times New Roman" w:cs="Times New Roman" w:eastAsia="Times New Roman" w:hAnsi="Times New Roman"/>
          <w:sz w:val="18"/>
          <w:szCs w:val="18"/>
          <w:color w:val="auto"/>
        </w:rPr>
        <w:t>. The Borrower has delivered to the Lenders the Audited Financial Statements accompanied by an opinion of Grant Thornton LLP and the unaudited Consolidated balance sheet of the Borrower and its Subsidiaries dated as of June 30, 2020 and the related Consolidated statements of income or operations, shareholders’ equity and cash flows for the fiscal quarter, and the two fiscal quarter period, ended on that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financial statements (A) present fairly and accurately in all material respects the financial condition and results of operations and cash flows of the Borrower as of the dates and for the periods to which they relate, (B) disclose all material liabilities, direct or contingent, of the Borrower and its Subsidiaries as of the dates thereof, and (C) were prepared in accordance with GAAP applied on a consistent basis, subject, in the case of unaudited financial statements, to year-end audit adjustments and the absence of footnotes.</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Forecasts</w:t>
      </w:r>
      <w:r>
        <w:rPr>
          <w:rFonts w:ascii="Times New Roman" w:cs="Times New Roman" w:eastAsia="Times New Roman" w:hAnsi="Times New Roman"/>
          <w:sz w:val="18"/>
          <w:szCs w:val="18"/>
          <w:color w:val="auto"/>
        </w:rPr>
        <w:t>. The forecasts of financial performance of the Borrower and its Subsidiaries furnished to the Lenders prior to the Closing Date, on an annual basis for the projected period from on or about the Closing Date through December 31, 2023, were prepared in good faith by the Borrower and based on assumptions believed by the Borrower at the time made to be reasonable.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5.06. </w:t>
      </w:r>
      <w:r>
        <w:rPr>
          <w:rFonts w:ascii="Times New Roman" w:cs="Times New Roman" w:eastAsia="Times New Roman" w:hAnsi="Times New Roman"/>
          <w:sz w:val="18"/>
          <w:szCs w:val="18"/>
          <w:color w:val="auto"/>
        </w:rPr>
        <w:t>       No Material Adverse Change.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Since December 31, 2019, no event, change or condition has occurred that has had (and continues to have), or could reasonably be expected to have, a Material Adverse Effect.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5.07. </w:t>
      </w:r>
      <w:r>
        <w:rPr>
          <w:rFonts w:ascii="Times New Roman" w:cs="Times New Roman" w:eastAsia="Times New Roman" w:hAnsi="Times New Roman"/>
          <w:sz w:val="18"/>
          <w:szCs w:val="18"/>
          <w:color w:val="auto"/>
        </w:rPr>
        <w:t>       Title to Properties; Possession Under Leases.</w:t>
      </w:r>
    </w:p>
    <w:p>
      <w:pPr>
        <w:spacing w:after="0" w:line="22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Except as set forth in </w:t>
      </w:r>
      <w:r>
        <w:rPr>
          <w:rFonts w:ascii="Times New Roman" w:cs="Times New Roman" w:eastAsia="Times New Roman" w:hAnsi="Times New Roman"/>
          <w:sz w:val="18"/>
          <w:szCs w:val="18"/>
          <w:u w:val="single" w:color="auto"/>
          <w:color w:val="auto"/>
        </w:rPr>
        <w:t>Schedule 5.07</w:t>
      </w:r>
      <w:r>
        <w:rPr>
          <w:rFonts w:ascii="Times New Roman" w:cs="Times New Roman" w:eastAsia="Times New Roman" w:hAnsi="Times New Roman"/>
          <w:sz w:val="18"/>
          <w:szCs w:val="18"/>
          <w:color w:val="auto"/>
        </w:rPr>
        <w:t xml:space="preserve">, each of the Borrower and its Restricted Subsidiaries has good and marketable title to (including in connection therewith, valid easements), or valid leasehold interests in, all its material properties and assets, except for (i) minor defects in title that do not interfere with its ability to conduct its business as currently conducted or to utilize such properties and assets for their intended purposes, and (ii) as otherwise could not reasonably be expected to have a Material Adverse Effect. All such material properties and assets are free and clear of Liens, other than Liens expressly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Except as set forth in </w:t>
      </w:r>
      <w:r>
        <w:rPr>
          <w:rFonts w:ascii="Times New Roman" w:cs="Times New Roman" w:eastAsia="Times New Roman" w:hAnsi="Times New Roman"/>
          <w:sz w:val="18"/>
          <w:szCs w:val="18"/>
          <w:u w:val="single" w:color="auto"/>
          <w:color w:val="auto"/>
        </w:rPr>
        <w:t>Schedule 5.07</w:t>
      </w:r>
      <w:r>
        <w:rPr>
          <w:rFonts w:ascii="Times New Roman" w:cs="Times New Roman" w:eastAsia="Times New Roman" w:hAnsi="Times New Roman"/>
          <w:sz w:val="18"/>
          <w:szCs w:val="18"/>
          <w:color w:val="auto"/>
        </w:rPr>
        <w:t xml:space="preserve">, each of the Borrower and each of its Restricted Subsidiaries (other than Immaterial Subsidiaries) is in compliance with all material obligations under all material leases to which it is a party and all such leases are legal, valid, binding and in full force and effect and are enforceable against the Borrower and its Restricted Subsidiaries (other than Immaterial Subsidiaries) party thereto and, to the Borrower’s knowledge, against each other party thereto in accordance with their terms, except, with respect to any of the foregoing, for any failures that could not reasonably be expected to have a Material Adverse Effect. Except as set forth in </w:t>
      </w:r>
      <w:r>
        <w:rPr>
          <w:rFonts w:ascii="Times New Roman" w:cs="Times New Roman" w:eastAsia="Times New Roman" w:hAnsi="Times New Roman"/>
          <w:sz w:val="18"/>
          <w:szCs w:val="18"/>
          <w:u w:val="single" w:color="auto"/>
          <w:color w:val="auto"/>
        </w:rPr>
        <w:t>Schedule 5.07</w:t>
      </w:r>
      <w:r>
        <w:rPr>
          <w:rFonts w:ascii="Times New Roman" w:cs="Times New Roman" w:eastAsia="Times New Roman" w:hAnsi="Times New Roman"/>
          <w:sz w:val="18"/>
          <w:szCs w:val="18"/>
          <w:color w:val="auto"/>
        </w:rPr>
        <w:t>, each of the Borrower and its Restricted Subsidiaries (other than Immaterial Subsidiaries) enjoys peaceful and undisturbed possession under all such material leases, except for any subleases entered into in the ordinary course of business.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5.08.</w:t>
      </w:r>
      <w:r>
        <w:rPr>
          <w:sz w:val="20"/>
          <w:szCs w:val="20"/>
          <w:color w:val="auto"/>
        </w:rPr>
        <w:tab/>
      </w:r>
      <w:r>
        <w:rPr>
          <w:rFonts w:ascii="Times New Roman" w:cs="Times New Roman" w:eastAsia="Times New Roman" w:hAnsi="Times New Roman"/>
          <w:sz w:val="17"/>
          <w:szCs w:val="17"/>
          <w:color w:val="auto"/>
        </w:rPr>
        <w:t>Subsidiaries.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Schedule 5.08</w:t>
      </w:r>
      <w:r>
        <w:rPr>
          <w:rFonts w:ascii="Times New Roman" w:cs="Times New Roman" w:eastAsia="Times New Roman" w:hAnsi="Times New Roman"/>
          <w:sz w:val="18"/>
          <w:szCs w:val="18"/>
          <w:color w:val="auto"/>
        </w:rPr>
        <w:t xml:space="preserve"> sets forth as of the Closing Date a list of all Subsidiaries, their jurisdiction of organization and the percentage ownership interest of the Borrower therein and the ownership interests of the Guarantors. The shares of capital stock or other ownership interests so indicated on </w:t>
      </w:r>
      <w:r>
        <w:rPr>
          <w:rFonts w:ascii="Times New Roman" w:cs="Times New Roman" w:eastAsia="Times New Roman" w:hAnsi="Times New Roman"/>
          <w:sz w:val="18"/>
          <w:szCs w:val="18"/>
          <w:u w:val="single" w:color="auto"/>
          <w:color w:val="auto"/>
        </w:rPr>
        <w:t>Schedule 5.08</w:t>
      </w:r>
      <w:r>
        <w:rPr>
          <w:rFonts w:ascii="Times New Roman" w:cs="Times New Roman" w:eastAsia="Times New Roman" w:hAnsi="Times New Roman"/>
          <w:sz w:val="18"/>
          <w:szCs w:val="18"/>
          <w:color w:val="auto"/>
        </w:rPr>
        <w:t xml:space="preserve"> held in such Subsidiary are fully paid and non-assessable and are owned by the Borrower, directly or indirectly, free and clear of all Liens (other than Liens created under the Collateral Documents, and Liens permitted under Section 7.02).</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5.09.</w:t>
      </w:r>
      <w:r>
        <w:rPr>
          <w:sz w:val="20"/>
          <w:szCs w:val="20"/>
          <w:color w:val="auto"/>
        </w:rPr>
        <w:tab/>
      </w:r>
      <w:r>
        <w:rPr>
          <w:rFonts w:ascii="Times New Roman" w:cs="Times New Roman" w:eastAsia="Times New Roman" w:hAnsi="Times New Roman"/>
          <w:sz w:val="17"/>
          <w:szCs w:val="17"/>
          <w:color w:val="auto"/>
        </w:rPr>
        <w:t>Litigation; Compliance with Laws.</w:t>
      </w:r>
    </w:p>
    <w:p>
      <w:pPr>
        <w:spacing w:after="0" w:line="22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Except as set forth on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there are no actions, suits or proceedings at law or in equity or by or before any Governmental Authority now pending or, to the actual knowledge of the Borrower or the Guarantors, threatened against the Borrower, any Restricted Subsidiary or any business, property or rights of any such Person (i) that involve any Loan Document, or (ii) as to which there is a reasonable possibility of an adverse determination and that, if adversely determined, could reasonably be expected, individually or in the aggregate, to result in a Material Adverse Effect.</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None of the Borrower or any of its Domestic Subsidiaries or any of their respective material properties or assets is in violation of, nor will the continued operation of their material properties and assets as currently conducted violate, any law, rule or regulation (including any zoning, building, ordinance, code or approval or any building permits), or is in default with respect to any judgment, writ, injunction, decree or order of any Governmental Authority, where such violation or default would reasonably be expected to result in a Material Adverse Effect.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8"/>
          <w:szCs w:val="18"/>
          <w:color w:val="auto"/>
        </w:rPr>
        <w:t>Agreements.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the Borrower or any of the Restricted Subsidiaries is in default in any manner under any provision of any indenture or other agreement or instrument evidencing Material Indebtedness, or any other material agreement or instrument to which it is a party, where such default would reasonably be expected to result in a Material Adverse Effect.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17" w:name="page118"/>
    <w:bookmarkEnd w:id="117"/>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8"/>
          <w:szCs w:val="18"/>
          <w:color w:val="auto"/>
        </w:rPr>
        <w:t>Federal Reserve Regulations.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the Borrower or any of the Restricted Subsidiaries is engaged principally, or as one of its important activities, in the business of extending credit for the purpose of buying or carrying Margin Stock.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part of the proceeds of any Credit Extension will be used, whether directly or indirectly, and whether immediately, incidentally or ultimately, for any purpose that entails a violation of, or that is inconsistent with, the provisions of the Regulations of the Board, including Regulation T, Regulation U or Regulation X. No Indebtedness being reduced or retired out of the proceeds of any Credit Extension was or will be incurred for the purpose of purchasing or carrying any Margin Stock in violation of, or that is inconsistent with, the provisions of the Regulations of the Board, including Regulation T, Regulation U or Regulation X. After giving effect to each Credit Extension, Margin Stock will not constitute more than 25% of the value of the assets of the Loan Parties.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8"/>
          <w:szCs w:val="18"/>
          <w:color w:val="auto"/>
        </w:rPr>
        <w:t>Investment Company Act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the Borrower or any Restricted Subsidiary is an “investment company” as defined in, or subject to regulation under, the Investment Company Act of 1940.</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5.13.</w:t>
      </w:r>
      <w:r>
        <w:rPr>
          <w:sz w:val="20"/>
          <w:szCs w:val="20"/>
          <w:color w:val="auto"/>
        </w:rPr>
        <w:tab/>
      </w:r>
      <w:r>
        <w:rPr>
          <w:rFonts w:ascii="Times New Roman" w:cs="Times New Roman" w:eastAsia="Times New Roman" w:hAnsi="Times New Roman"/>
          <w:sz w:val="17"/>
          <w:szCs w:val="17"/>
          <w:color w:val="auto"/>
        </w:rPr>
        <w:t>Tax Returns.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of the Borrower and its Restricted Subsidiaries has timely filed or caused to be timely filed all material Federal, state, local and (to the extent it has foreign operations) foreign tax returns required to have been filed by it and has paid or caused to be paid all material taxes then due and payable by it (whether or not shown as due on such returns but after taking into account any valid extensions), except taxes that are being contested in good faith by appropriate proceedings and for which the Borrower or such Restricted Subsidiary, as applicable, shall have set aside on its books adequate reserves with respect thereto in accordance with GAAP and such contest operates to suspend collection of the contested taxes. As of the Closing Date, the Borrower has not engaged in any “listed transaction” (within the meaning of Treasury Regulation Section 1.6011-4 of the Code). There is no proposed tax assessment against the Borrower or its Restricted Subsidiaries that could reasonably be expected to have a Material Adverse Effect.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5.14.</w:t>
      </w:r>
      <w:r>
        <w:rPr>
          <w:sz w:val="20"/>
          <w:szCs w:val="20"/>
          <w:color w:val="auto"/>
        </w:rPr>
        <w:tab/>
      </w:r>
      <w:r>
        <w:rPr>
          <w:rFonts w:ascii="Times New Roman" w:cs="Times New Roman" w:eastAsia="Times New Roman" w:hAnsi="Times New Roman"/>
          <w:sz w:val="17"/>
          <w:szCs w:val="17"/>
          <w:color w:val="auto"/>
        </w:rPr>
        <w:t>No Material Misstatements.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 information, report, financial statement, agreement, documentary condition precedent, Exhibit or Schedule furnished by or on behalf of the Borrower or its Subsidiaries to the Administrative Agent or any Lender in connection with the Transactions, in connection with the negotiation of any Loan Document or included therein or delivered pursuant thereto, contained as of the date of such statement any material misstatement of fact or omitted to state any material fact necessary to make the statements therein, in the light of the circumstances under which they were made, not misleading when taken as a whole;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to the extent any such information, report, financial statement, Exhibit or Schedule was based upon or constitutes a forecast or projection, the Borrower represents only that it acted in good faith and utilized reasonable assumptions (based upon accounting principles consistent with the historical audited financial statements of the Borrower) and due care in the preparation of such information, report, financial statement, Exhibit or Schedule (it being recognized that any such forecast or projection is subject to the assumptions and plans reflected therein as of the date thereof, which could differ materially from the actual plans and results, and are necessarily subjective and based on estimates, and that actual results are subject to uncertainties and contingencies which may be beyond the Borrower’s control).</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5.15.</w:t>
      </w:r>
      <w:r>
        <w:rPr>
          <w:sz w:val="20"/>
          <w:szCs w:val="20"/>
          <w:color w:val="auto"/>
        </w:rPr>
        <w:tab/>
      </w:r>
      <w:r>
        <w:rPr>
          <w:rFonts w:ascii="Times New Roman" w:cs="Times New Roman" w:eastAsia="Times New Roman" w:hAnsi="Times New Roman"/>
          <w:sz w:val="18"/>
          <w:szCs w:val="18"/>
          <w:color w:val="auto"/>
        </w:rPr>
        <w:t>Employee Benefits Plans.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No ERISA Event has occurred or is reasonably expected to occur that, when taken together with all other such ERISA Events, could reasonably be expected to result in a Material Adverse Effect. Neither the Borrower nor any of its ERISA Affiliates contributes to, is obligated to contribute to or has or could reasonably be expected to have any obligation or liability with respect to any Multiemployer Plan. Except as disclosed in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xml:space="preserve">, as of the Closing Date, neither the Borrower nor any of its ERISA Affiliates maintains, sponsors, contributes to, is obligated to contribute to, has or could reasonably be expected to have any obligation or liability with respect to any Plan, nor, except as disclosed in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does the Borrower nor any Restricted Subsidiary have any present intention to sponsor, maintain, contribute or incur any obligation or liability with respect to any Plan.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 Borrower represents and warrants as of the Closing Date that the Borrower’s assets do not constitute “plan assets” (within the meaning of Section 3(42) of ERISA or otherwise) and the Borrower will not be using “plan assets” (within the meaning of Section 3(42) of ERISA or otherwise) of one or more Benefit Plans with respect to the Borrower’s entrance into, participation in, administration of and performance of the Loans, the Letters of Credit, the Commitments or this Agreement.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5.16.</w:t>
      </w:r>
      <w:r>
        <w:rPr>
          <w:sz w:val="20"/>
          <w:szCs w:val="20"/>
          <w:color w:val="auto"/>
        </w:rPr>
        <w:tab/>
      </w:r>
      <w:r>
        <w:rPr>
          <w:rFonts w:ascii="Times New Roman" w:cs="Times New Roman" w:eastAsia="Times New Roman" w:hAnsi="Times New Roman"/>
          <w:sz w:val="18"/>
          <w:szCs w:val="18"/>
          <w:color w:val="auto"/>
        </w:rPr>
        <w:t>Environmental Matters.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Except as set forth in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and except with respect to any other matters that, individually or in the aggregate, would not reasonably be expected to result in the Borrower or any of the Restricted Subsidiaries (other than any Immaterial Subsidiaries) incurring Environmental Liabilities that could be reasonably expected to result in a Material Adverse Effect, each of the Borrower and its Restricted Subsidiaries (other than Immaterial Subsidiaries) is and has been in compliance with any applicable Environmental Law, which compliance includes obtaining, maintaining and complying with any permit, license, authorization or other approval required under any Environmental Law for any of their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Except as set forth in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and except with respect to any other matters that, individually or in the aggregate, would not reasonably be expected to result in the Borrower or any of the Restricted Subsidiaries (other than Immaterial Subsidiaries) incurring Environmental Liabilities that could be reasonably expected to result in a Material Adverse Effect: (i) none of the Borrower or any Restricted Subsidiary (other than any Immaterial Subsidiary) has contractually assumed any Environmental Liability of any Person or has received, or to the actual knowledge of the Borrower and the Guarantors, anticipates receiving, written notice of any claim, order, agreement, or investigation with respect to any Environmental Liability.; (ii) none of the Borrower or any Restricted Subsidiary (other than any Immaterial Subsidiary) is subject to any material, ongoing obligations under a consent decree, administrative order or settlement agreement issued or entered into in connection with Environmental Law; and (iii) no facts or circumstances exist that would reasonably be expected to result in the Borrower or any of the Restricted Subsidiaries (other than Immaterial Subsidiaries) incurring Environmental Liabilities.</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19" w:name="page120"/>
    <w:bookmarkEnd w:id="119"/>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No Lien under Environmental Laws has attached to any real property in an amount or a manner that could be reasonably expected to result in a Material Adverse Effect.</w:t>
      </w:r>
    </w:p>
    <w:p>
      <w:pPr>
        <w:spacing w:after="0" w:line="162"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As of the Closing Date, except as disclosed on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to the knowledge of the Borrower and the Guarantors, the consummation of the transaction contemplated under this Agreement does not require the consent of or filing by any Loan Party with any Governmental Authority under any applicable Environmental Law.</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(e)           As of the Closing Date, each of the Borrower and its Domestic Subsidiaries has made available to the Administrative Agent copies of all requested existing material environmental reports (including any “Phase I environmental site assessments” relating to any real property) and audits, and all documents pertaining to actual material Environmental Liability, in each case to the extent such reports, audits and documents are in their possession, custody or control and are not more than five (5) years old.</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5.17.</w:t>
      </w:r>
      <w:r>
        <w:rPr>
          <w:sz w:val="20"/>
          <w:szCs w:val="20"/>
          <w:color w:val="auto"/>
        </w:rPr>
        <w:tab/>
      </w:r>
      <w:r>
        <w:rPr>
          <w:rFonts w:ascii="Times New Roman" w:cs="Times New Roman" w:eastAsia="Times New Roman" w:hAnsi="Times New Roman"/>
          <w:sz w:val="17"/>
          <w:szCs w:val="17"/>
          <w:color w:val="auto"/>
        </w:rPr>
        <w:t>Insurance.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sets forth a true, complete and correct description of all insurance maintained by the Borrower and the Domestic Restricted Subsidiaries (other than Immaterial Subsidiaries), as of the Closing Date. As of such date, all premiums have been duly paid to the extent due. The Borrower and its Restricted Subsidiaries have insurance in such amounts with financially sound and reputable insurance companies and covering such risks and liabilities as are in accordance with normal industry practice and customary for companies of similar size engaged in similar businesses in similar locations.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5.18.</w:t>
      </w:r>
      <w:r>
        <w:rPr>
          <w:sz w:val="20"/>
          <w:szCs w:val="20"/>
          <w:color w:val="auto"/>
        </w:rPr>
        <w:tab/>
      </w:r>
      <w:r>
        <w:rPr>
          <w:rFonts w:ascii="Times New Roman" w:cs="Times New Roman" w:eastAsia="Times New Roman" w:hAnsi="Times New Roman"/>
          <w:sz w:val="17"/>
          <w:szCs w:val="17"/>
          <w:color w:val="auto"/>
        </w:rPr>
        <w:t>Sanctions Concerns and Anti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Corruption Laws.</w:t>
      </w:r>
    </w:p>
    <w:p>
      <w:pPr>
        <w:spacing w:after="0" w:line="229"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Sanctions Concerns</w:t>
      </w:r>
      <w:r>
        <w:rPr>
          <w:rFonts w:ascii="Times New Roman" w:cs="Times New Roman" w:eastAsia="Times New Roman" w:hAnsi="Times New Roman"/>
          <w:sz w:val="18"/>
          <w:szCs w:val="18"/>
          <w:color w:val="auto"/>
        </w:rPr>
        <w:t>. No Loan Party, nor any Subsidiary, nor, to the knowledge of the Borrower, any director, officer, employee, agent, affiliate or representative thereof, is an individual or entity that is, or is owned or controlled by one or more individuals or entities that are</w:t>
      </w:r>
    </w:p>
    <w:p>
      <w:pPr>
        <w:jc w:val="both"/>
        <w:ind w:left="660" w:hanging="4"/>
        <w:spacing w:after="0" w:line="253" w:lineRule="auto"/>
        <w:tabs>
          <w:tab w:leader="none" w:pos="8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Borrower and its Subsidiaries have conducted their businesses in compliance in all material respects with all applicable Sanctions and have instituted and maintained policies and procedures designed to promote and achieve compliance with such Sanctions.</w:t>
      </w:r>
    </w:p>
    <w:p>
      <w:pPr>
        <w:spacing w:after="0" w:line="187"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Anti-Corruption Laws</w:t>
      </w:r>
      <w:r>
        <w:rPr>
          <w:rFonts w:ascii="Times New Roman" w:cs="Times New Roman" w:eastAsia="Times New Roman" w:hAnsi="Times New Roman"/>
          <w:sz w:val="18"/>
          <w:szCs w:val="18"/>
          <w:color w:val="auto"/>
        </w:rPr>
        <w:t>. The Loan Parties and their Subsidiaries have conducted their business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5.19.</w:t>
      </w:r>
      <w:r>
        <w:rPr>
          <w:sz w:val="20"/>
          <w:szCs w:val="20"/>
          <w:color w:val="auto"/>
        </w:rPr>
        <w:tab/>
      </w:r>
      <w:r>
        <w:rPr>
          <w:rFonts w:ascii="Times New Roman" w:cs="Times New Roman" w:eastAsia="Times New Roman" w:hAnsi="Times New Roman"/>
          <w:sz w:val="17"/>
          <w:szCs w:val="17"/>
          <w:color w:val="auto"/>
        </w:rPr>
        <w:t>Collateral Documents.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The Security Agreement, upon execution and delivery thereof by the parties thereto, will be effective to create in favor of the Administrative Agent, to the extent set forth therein, for the benefit of the Secured Parties, a legal, valid and enforceable Lien in the Collateral (as defined in the Security Agreement) and, subject to any limitations herein and therein or in the certificates or notes, as applicable, representing Pledged Equity, Instruments, Tangible Chattel Paper and Supporting Obligations (in each case, as defined in the Security Agreement), the proceeds thereof, except as enforceability may be limited by applicable bankruptcy, insolvency, moratorium (or similar laws affecting the enforcement of creditors’ rights generally), by equitable principles (whether enforcement is sought by proceedings in equity or at law) and implied covenants of good faith and fair dealing and (i) when such Pledged Equity, Instruments, Tangible Chattel Paper and Supporting Obligations are delivered to the Administrative Agent, if and to the extent required by the Security Agreement, the Lien created under the Security Agreement shall constitute a fully perfected Lien on, and security interest in, all right, title and interest of the U.S. Loan Parties in such Pledged Equity, Instruments, Tangible Chattel Paper and Supporting Obligations to the extent that a Lien in such Pledged Equity, Instruments, Tangible Chattel Paper or Supporting Obligations can be perfected by delivery, in each case having a first priority perfected security interest in such Pledged Equity, Instruments, Tangible Chattel Paper and Supporting Obligations (except with respect to Liens expressly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(ii) when financing statements in appropriate form are filed in the offices specified on </w:t>
      </w:r>
      <w:r>
        <w:rPr>
          <w:rFonts w:ascii="Times New Roman" w:cs="Times New Roman" w:eastAsia="Times New Roman" w:hAnsi="Times New Roman"/>
          <w:sz w:val="18"/>
          <w:szCs w:val="18"/>
          <w:u w:val="single" w:color="auto"/>
          <w:color w:val="auto"/>
        </w:rPr>
        <w:t>Schedule 5.19(a</w:t>
      </w:r>
      <w:r>
        <w:rPr>
          <w:rFonts w:ascii="Times New Roman" w:cs="Times New Roman" w:eastAsia="Times New Roman" w:hAnsi="Times New Roman"/>
          <w:sz w:val="18"/>
          <w:szCs w:val="18"/>
          <w:color w:val="auto"/>
        </w:rPr>
        <w:t xml:space="preserve">), the Lien created under the Security Agreement will constitute a fully perfected Lien on, and security interest in, all right, title and interest of the U.S. Loan Parties in such Collateral to the extent that a Lien in such Collateral can be perfected by filing of financing statements (other than Intellectual Property, as defined in the Security Agreement, and other Collateral with respect to which possession or control is required for perfection), in each case having a first priority perfected security interest in such Collateral, other than with respect to Liens expressly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1300" w:hanging="656"/>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Except as set forth in </w:t>
      </w:r>
      <w:r>
        <w:rPr>
          <w:rFonts w:ascii="Times New Roman" w:cs="Times New Roman" w:eastAsia="Times New Roman" w:hAnsi="Times New Roman"/>
          <w:sz w:val="18"/>
          <w:szCs w:val="18"/>
          <w:u w:val="single" w:color="auto"/>
          <w:color w:val="auto"/>
        </w:rPr>
        <w:t>Schedule 5.19(b)</w:t>
      </w:r>
      <w:r>
        <w:rPr>
          <w:rFonts w:ascii="Times New Roman" w:cs="Times New Roman" w:eastAsia="Times New Roman" w:hAnsi="Times New Roman"/>
          <w:sz w:val="18"/>
          <w:szCs w:val="18"/>
          <w:color w:val="auto"/>
        </w:rPr>
        <w:t xml:space="preserve">, upon the recordation of any Notice of Grant of Security Interest in Trademarks, Notice of Grant of Security Interest in Patents and Notice of Grant of Security Interest in Copyrights, as and if applicable, with the United States Patent and Trademark Office and the United States Copyright Office, as applicable, together with the duly completed financing statements in appropriate form filed in the offices specified in </w:t>
      </w:r>
      <w:r>
        <w:rPr>
          <w:rFonts w:ascii="Times New Roman" w:cs="Times New Roman" w:eastAsia="Times New Roman" w:hAnsi="Times New Roman"/>
          <w:sz w:val="18"/>
          <w:szCs w:val="18"/>
          <w:u w:val="single" w:color="auto"/>
          <w:color w:val="auto"/>
        </w:rPr>
        <w:t>Schedule 5.19(a)</w:t>
      </w:r>
      <w:r>
        <w:rPr>
          <w:rFonts w:ascii="Times New Roman" w:cs="Times New Roman" w:eastAsia="Times New Roman" w:hAnsi="Times New Roman"/>
          <w:sz w:val="18"/>
          <w:szCs w:val="18"/>
          <w:color w:val="auto"/>
        </w:rPr>
        <w:t xml:space="preserve">, the Lien created under the Security Agreement and such Notice of Grant of Security Interest in Trademarks, Notice of Grant of Security Interest in Patents and Notice of Grant of Security Interest in Copyrights, as applicable, shall constitute a fully perfected Lien on, and security interest in, all right, title and interest of the U.S. Loan Parties in the Intellectual Property (as defined in the Security Agreement) in which a security interest may be perfected by such filing in the United States and its territories and possessions, in each case having priority superior in right to any other person other than with respect to Liens expressly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(it being understood that subsequent recordings in the United States Patent and Trademark Office and the United States Copyright Office may be necessary to perfect a Lien on registered trademarks and patents, trademark and patent applications and registered copyrights acquired by the U.S. Loan Parties after the date hereof).</w:t>
      </w:r>
    </w:p>
    <w:p>
      <w:pPr>
        <w:spacing w:after="0" w:line="200" w:lineRule="exact"/>
        <w:rPr>
          <w:sz w:val="20"/>
          <w:szCs w:val="20"/>
          <w:color w:val="auto"/>
        </w:rPr>
      </w:pPr>
    </w:p>
    <w:p>
      <w:pPr>
        <w:spacing w:after="0" w:line="20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21" w:name="page122"/>
    <w:bookmarkEnd w:id="121"/>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           Set forth on </w:t>
      </w:r>
      <w:r>
        <w:rPr>
          <w:rFonts w:ascii="Times New Roman" w:cs="Times New Roman" w:eastAsia="Times New Roman" w:hAnsi="Times New Roman"/>
          <w:sz w:val="18"/>
          <w:szCs w:val="18"/>
          <w:u w:val="single" w:color="auto"/>
          <w:color w:val="auto"/>
        </w:rPr>
        <w:t>Schedule 5.19(b)</w:t>
      </w:r>
      <w:r>
        <w:rPr>
          <w:rFonts w:ascii="Times New Roman" w:cs="Times New Roman" w:eastAsia="Times New Roman" w:hAnsi="Times New Roman"/>
          <w:sz w:val="18"/>
          <w:szCs w:val="18"/>
          <w:color w:val="auto"/>
        </w:rPr>
        <w:t>, as of the Closing Date and as of the last date such Schedule was required to be updated in accordance with Sections 6.06 and 6.12, is a list of all registered or issued Intellectual Property (including all applications for registration and issuance) owned by each of the U.S. Loan Parties or that each of the U.S. Loan Parties has the right to (including the name/title, current owner, registration or application number, and registration or application date and such other information as reasonably requested by the Administrative Agent), but excluding any immaterial Intellectual Property that is no longer used or useful in the business of the Borrower and its Subsidiaries or where the Borrower deems it to be prudent business conduct (to be determined by the Borrower in its reasonable discretion) to abandon such Intellectual Property.</w:t>
      </w:r>
    </w:p>
    <w:p>
      <w:pPr>
        <w:spacing w:after="0" w:line="189" w:lineRule="exact"/>
        <w:rPr>
          <w:sz w:val="20"/>
          <w:szCs w:val="20"/>
          <w:color w:val="auto"/>
        </w:rPr>
      </w:pPr>
    </w:p>
    <w:p>
      <w:pPr>
        <w:ind w:left="1300" w:hanging="656"/>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Accounts and Securities Accounts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            Upon execution and delivery thereof by the parties thereto, the Qualifying Control Agreements, taken together with the Security Agreement, will be effective to create and perfect in favor of the Administrative Agent a legal, valid and enforceable security interest in the deposit accounts and securities accounts described therein and the proceeds and products thereof. Upon the execution of the Qualifying Control Agreements and the Security Agreement, such Collateral Documents shall constitute perfected Liens on, and security interests in, all right, title and interest of the U.S. Loan Parties in such deposit accounts and securities accounts described therein and the proceeds and products thereof, as security for the Obligations, in each case prior and superior in right to any other person, other than with respect to Liens expressly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(ii)          Set forth on Schedule 5.19(c), as of the Closing Date, is a description of all deposit accounts and securities accounts of the U.S. Loan Parties, including the name of (A) the applicable U.S. Loan Party, (B) in the case of a deposit account, the depository institution and whether such account is an Excluded Account, and (C) in the case of a securities account, the securities intermediary or issuer.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Tangible Chattel Paper</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5.19(d)</w:t>
      </w:r>
      <w:r>
        <w:rPr>
          <w:rFonts w:ascii="Times New Roman" w:cs="Times New Roman" w:eastAsia="Times New Roman" w:hAnsi="Times New Roman"/>
          <w:sz w:val="18"/>
          <w:szCs w:val="18"/>
          <w:color w:val="auto"/>
        </w:rPr>
        <w:t>, as of the Closing Date, is a description of all Tangible Chattel Paper (as defined in the UCC) of the U.S. Loan Parties with a value in excess of $2,500,000.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Electronic Chattel Paper and Letter of Credit Rights</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5.19(e)</w:t>
      </w:r>
      <w:r>
        <w:rPr>
          <w:rFonts w:ascii="Times New Roman" w:cs="Times New Roman" w:eastAsia="Times New Roman" w:hAnsi="Times New Roman"/>
          <w:sz w:val="18"/>
          <w:szCs w:val="18"/>
          <w:color w:val="auto"/>
        </w:rPr>
        <w:t>, as of the Closing Date, is a description of all Electronic Chattel Paper (as defined in the UCC) and Letter-of-Credit Rights (as defined in the UCC) of the U.S. Loan Parties, including the name of (A) the applicable U.S. Loan Party, (B) in the case of Electronic Chattel Paper (as defined in the UCC), the account debtor and (C) in the case of Letter-of-Credit Rights (as defined in the UCC), the issuer or nominated person, as applicable, in each case, with a value in excess of $2,500,000.</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Commercial Tort Claims</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5.19(f)</w:t>
      </w:r>
      <w:r>
        <w:rPr>
          <w:rFonts w:ascii="Times New Roman" w:cs="Times New Roman" w:eastAsia="Times New Roman" w:hAnsi="Times New Roman"/>
          <w:sz w:val="18"/>
          <w:szCs w:val="18"/>
          <w:color w:val="auto"/>
        </w:rPr>
        <w:t>, as of the Closing Date, is a description of all Commercial Tort Claims (as defined in the UCC) of the U.S. Loan Parties (detailing such Commercial Tort Claim in such detail as reasonably requested by the Administrative Agent) with a value in excess of $2,500,000.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Pledged Equity Interests</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5.19(g)</w:t>
      </w:r>
      <w:r>
        <w:rPr>
          <w:rFonts w:ascii="Times New Roman" w:cs="Times New Roman" w:eastAsia="Times New Roman" w:hAnsi="Times New Roman"/>
          <w:sz w:val="18"/>
          <w:szCs w:val="18"/>
          <w:color w:val="auto"/>
        </w:rPr>
        <w:t xml:space="preserve">, as of the Closing Date and as of the last date such </w:t>
      </w:r>
      <w:r>
        <w:rPr>
          <w:rFonts w:ascii="Times New Roman" w:cs="Times New Roman" w:eastAsia="Times New Roman" w:hAnsi="Times New Roman"/>
          <w:sz w:val="18"/>
          <w:szCs w:val="18"/>
          <w:u w:val="single" w:color="auto"/>
          <w:color w:val="auto"/>
        </w:rPr>
        <w:t>Schedule 5.19(g)</w:t>
      </w:r>
      <w:r>
        <w:rPr>
          <w:rFonts w:ascii="Times New Roman" w:cs="Times New Roman" w:eastAsia="Times New Roman" w:hAnsi="Times New Roman"/>
          <w:sz w:val="18"/>
          <w:szCs w:val="18"/>
          <w:color w:val="auto"/>
        </w:rPr>
        <w:t xml:space="preserve"> was required to be updated in accordance with Sections 6.04 and 6.12, is a list of (i) all Pledged Equity and (ii) all other Equity Interests (other than Excluded Property) required to be pledged to the Administrative Agent pursuant to the Collateral Documents (in each case, detailing the Grantor (as defined in the Security Agreement)), the Person whose Equity Interests are pledged, the number of shares of each class of Equity Interests, the certificate number and percentage ownership of outstanding shares of each class of Equity Interests.</w:t>
      </w:r>
    </w:p>
    <w:p>
      <w:pPr>
        <w:spacing w:after="0" w:line="3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2" w:name="page123"/>
    <w:bookmarkEnd w:id="122"/>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5.20.</w:t>
      </w:r>
      <w:r>
        <w:rPr>
          <w:sz w:val="20"/>
          <w:szCs w:val="20"/>
          <w:color w:val="auto"/>
        </w:rPr>
        <w:tab/>
      </w:r>
      <w:r>
        <w:rPr>
          <w:rFonts w:ascii="Times New Roman" w:cs="Times New Roman" w:eastAsia="Times New Roman" w:hAnsi="Times New Roman"/>
          <w:sz w:val="18"/>
          <w:szCs w:val="18"/>
          <w:color w:val="auto"/>
        </w:rPr>
        <w:t>Location of Real Property and Leased Premises.</w:t>
      </w:r>
    </w:p>
    <w:p>
      <w:pPr>
        <w:spacing w:after="0" w:line="22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5.20(a)</w:t>
      </w:r>
      <w:r>
        <w:rPr>
          <w:rFonts w:ascii="Times New Roman" w:cs="Times New Roman" w:eastAsia="Times New Roman" w:hAnsi="Times New Roman"/>
          <w:sz w:val="18"/>
          <w:szCs w:val="18"/>
          <w:color w:val="auto"/>
        </w:rPr>
        <w:t xml:space="preserve"> lists completely and correctly as of the Closing Date all real property owned by the Borrower and its Domestic Restricted Subsidiaries (other than Immaterial Subsidiaries) and the addresses thereof (to the extent available). The Borrower and its Domestic Restricted Subsidiaries (other than Immaterial Subsidiaries) own in fee all the real property set forth on </w:t>
      </w:r>
      <w:r>
        <w:rPr>
          <w:rFonts w:ascii="Times New Roman" w:cs="Times New Roman" w:eastAsia="Times New Roman" w:hAnsi="Times New Roman"/>
          <w:sz w:val="18"/>
          <w:szCs w:val="18"/>
          <w:u w:val="single" w:color="auto"/>
          <w:color w:val="auto"/>
        </w:rPr>
        <w:t>Schedule 5.20(a)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5.20(b)</w:t>
      </w:r>
      <w:r>
        <w:rPr>
          <w:rFonts w:ascii="Times New Roman" w:cs="Times New Roman" w:eastAsia="Times New Roman" w:hAnsi="Times New Roman"/>
          <w:sz w:val="18"/>
          <w:szCs w:val="18"/>
          <w:color w:val="auto"/>
        </w:rPr>
        <w:t xml:space="preserve"> lists completely and correctly as of the Closing Date all real property leased by the Borrower and its Domestic Restricted Subsidiaries (other than Immaterial Subsidiaries) and the addresses thereof (to the extent available). The Borrower and its Domestic Restricted Subsidiaries (other than Immaterial Subsidiaries) have valid leases in all the real property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except as noted thereon.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5.21.</w:t>
      </w:r>
      <w:r>
        <w:rPr>
          <w:sz w:val="20"/>
          <w:szCs w:val="20"/>
          <w:color w:val="auto"/>
        </w:rPr>
        <w:tab/>
      </w:r>
      <w:r>
        <w:rPr>
          <w:rFonts w:ascii="Times New Roman" w:cs="Times New Roman" w:eastAsia="Times New Roman" w:hAnsi="Times New Roman"/>
          <w:sz w:val="17"/>
          <w:szCs w:val="17"/>
          <w:color w:val="auto"/>
        </w:rPr>
        <w:t>Compliance with FDA and USDA, Permits.</w:t>
      </w:r>
    </w:p>
    <w:p>
      <w:pPr>
        <w:spacing w:after="0" w:line="22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(a)           Except as would not reasonably be expected to have a Material Adverse Effect, the business and operations of the Borrower are, and have been during the past three (3) years, operated in compliance with all applicable laws and regulations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and the U.S. Department of Agriculture (“</w:t>
      </w:r>
      <w:r>
        <w:rPr>
          <w:rFonts w:ascii="Times New Roman" w:cs="Times New Roman" w:eastAsia="Times New Roman" w:hAnsi="Times New Roman"/>
          <w:sz w:val="18"/>
          <w:szCs w:val="18"/>
          <w:u w:val="single" w:color="auto"/>
          <w:color w:val="auto"/>
        </w:rPr>
        <w:t>USDA</w:t>
      </w:r>
      <w:r>
        <w:rPr>
          <w:rFonts w:ascii="Times New Roman" w:cs="Times New Roman" w:eastAsia="Times New Roman" w:hAnsi="Times New Roman"/>
          <w:sz w:val="18"/>
          <w:szCs w:val="18"/>
          <w:color w:val="auto"/>
        </w:rPr>
        <w:t>”). There is no, and has not been during the past three (3) years, any actual or, to the knowledge of the Borrower, potential material action or investigation in respect of the business or operations of the Borrower by the FDA or USDA.</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The Borrower holds, and is operating in compliance with, all material permits, licenses, approvals, certificates and other registrations, authorizations and exemptions of and from the FDA and USDA, as required for the conduct of its business and operations as currently conducted (each, a “</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and each such Permit is in full force and effect.</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(c)           The Borrower has not received, during the past three (3) years, any FDA Form 483 or other notice of inspectional observations, “warning letters,” “untitled letters,” notice of adverse findings, or other similar notices from the FDA or the USDA alleging or asserting material noncompliance with any applicable laws or regulations or any Permits.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5.22.</w:t>
      </w:r>
      <w:r>
        <w:rPr>
          <w:sz w:val="20"/>
          <w:szCs w:val="20"/>
          <w:color w:val="auto"/>
        </w:rPr>
        <w:tab/>
      </w:r>
      <w:r>
        <w:rPr>
          <w:rFonts w:ascii="Times New Roman" w:cs="Times New Roman" w:eastAsia="Times New Roman" w:hAnsi="Times New Roman"/>
          <w:sz w:val="18"/>
          <w:szCs w:val="18"/>
          <w:color w:val="auto"/>
        </w:rPr>
        <w:t>Labor Matters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Closing Date, (i) there are no strikes or lockouts against the Borrower or any Guarantor pending or, to the actual knowledge of the Borrower or the Guarantors, threatened, in each case or in the aggregate, that could be reasonably expected to result in a Material Adverse Effect, (ii) the hours worked by and payments made to employees of the Borrower and its Domestic Subsidiaries have not been in violation of the Fair Labor Standards Act or any other applicable Federal, state, local or foreign law dealing with such matters that would reasonably be expected to have a Material Adverse Effect, and (iii) all payments due from the Borrower or any of its Domestic Subsidiaries on account of wages and employee health and welfare insurance and other benefits that would reasonably be expected to have a Material Adverse Effect if not paid, have been paid or accrued as a liability on the books of the Borrower or such Domestic Subsidiary.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5.23.</w:t>
      </w:r>
      <w:r>
        <w:rPr>
          <w:sz w:val="20"/>
          <w:szCs w:val="20"/>
          <w:color w:val="auto"/>
        </w:rPr>
        <w:tab/>
      </w:r>
      <w:r>
        <w:rPr>
          <w:rFonts w:ascii="Times New Roman" w:cs="Times New Roman" w:eastAsia="Times New Roman" w:hAnsi="Times New Roman"/>
          <w:sz w:val="18"/>
          <w:szCs w:val="18"/>
          <w:color w:val="auto"/>
        </w:rPr>
        <w:t>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will use the proceeds of the Loans for application by the Borrower (and, to the extent distributed to them by the Borrower, each other Loan Party) solely (i) to repay certain existing Indebtedness, (ii) to pay fees, costs and expenses related to the Transactions, and (iii) for other general corporate and working capital purposes of the Borrower and its Subsidiaries.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5.24.</w:t>
      </w:r>
      <w:r>
        <w:rPr>
          <w:sz w:val="20"/>
          <w:szCs w:val="20"/>
          <w:color w:val="auto"/>
        </w:rPr>
        <w:tab/>
      </w:r>
      <w:r>
        <w:rPr>
          <w:rFonts w:ascii="Times New Roman" w:cs="Times New Roman" w:eastAsia="Times New Roman" w:hAnsi="Times New Roman"/>
          <w:sz w:val="17"/>
          <w:szCs w:val="17"/>
          <w:color w:val="auto"/>
        </w:rPr>
        <w:t>Solvency.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Closing Date and on the date of each Credit Extension, both immediately before and after (i) with respect to the Closing Date, the consummation of the Transactions, including the making of the Loans and the application of the proceeds thereof on the Closing Date, and (ii) with respect to each other Credit Extension, the making of such Credit Extension and the application of the proceeds thereof on such date, the Loan Parties, taken as a whole, are and will be Solvent.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5.25.</w:t>
      </w:r>
      <w:r>
        <w:rPr>
          <w:sz w:val="20"/>
          <w:szCs w:val="20"/>
          <w:color w:val="auto"/>
        </w:rPr>
        <w:tab/>
      </w:r>
      <w:r>
        <w:rPr>
          <w:rFonts w:ascii="Times New Roman" w:cs="Times New Roman" w:eastAsia="Times New Roman" w:hAnsi="Times New Roman"/>
          <w:sz w:val="17"/>
          <w:szCs w:val="17"/>
          <w:color w:val="auto"/>
        </w:rPr>
        <w:t>No Burdensome Restrictions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Neither the Borrower nor any of its Restricted Subsidiaries is a party to any agreement or instrument or subject to any corporate or other constitutional restriction that has resulted or could reasonably be expected to result in a Material Adverse Effect. Neither the Borrower nor any of its Restricted Subsidiaries is in default in any manner under any provision of any indenture or other agreement or instrument evidencing Indebtedness, or any other agreement or instrument to which it is a party or by which it or any of its property is or may be bound, where such default could reasonably be expected to result in a Material Adverse Effect, and no condition exists which, with the giving of notice or the lapse of time or both, would constitute such a default. As of the Closing Date, the Borrower has delivered or otherwise made available to the Administrative Agent complete and correct copies of all such material agreements, including any amendments, supplements or modifications with respect thereto, and all such agreements are in full force and effect.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5.26.</w:t>
      </w:r>
      <w:r>
        <w:rPr>
          <w:sz w:val="20"/>
          <w:szCs w:val="20"/>
          <w:color w:val="auto"/>
        </w:rPr>
        <w:tab/>
      </w:r>
      <w:r>
        <w:rPr>
          <w:rFonts w:ascii="Times New Roman" w:cs="Times New Roman" w:eastAsia="Times New Roman" w:hAnsi="Times New Roman"/>
          <w:sz w:val="17"/>
          <w:szCs w:val="17"/>
          <w:color w:val="auto"/>
        </w:rPr>
        <w:t>Intellectual Property</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5.26</w:t>
      </w:r>
      <w:r>
        <w:rPr>
          <w:rFonts w:ascii="Times New Roman" w:cs="Times New Roman" w:eastAsia="Times New Roman" w:hAnsi="Times New Roman"/>
          <w:sz w:val="18"/>
          <w:szCs w:val="18"/>
          <w:color w:val="auto"/>
        </w:rPr>
        <w:t>, the Borrower and its Restricted Subsidiaries own, or is licensed to use, all Intellectual Property (as defined in the Security Agreement) reasonably necessary to conduct its business as currently conducted, without conflict with the rights of any other Person, except as would not reasonably be expected to have a Material Adverse Effect. To the knowledge of the Borrower and its Restricted Subsidiaries, no Intellectual Property now employed, or now contemplated to be employed, by the Borrower or any Restricted Subsidiary in the operation of their respective businesses as currently conducted infringes upon any rights held by any other Person, except as would not reasonably be expected to have a Material Adverse Effect. No Person has contested any right, title or interest of the Borrower or any Restricted Subsidiary in, or relating to, any Intellectual Property, which, either individually or in the aggregate, could reasonably be expected to have a Material Adverse Effect.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5.27.</w:t>
      </w:r>
      <w:r>
        <w:rPr>
          <w:sz w:val="20"/>
          <w:szCs w:val="20"/>
          <w:color w:val="auto"/>
        </w:rPr>
        <w:tab/>
      </w:r>
      <w:r>
        <w:rPr>
          <w:rFonts w:ascii="Times New Roman" w:cs="Times New Roman" w:eastAsia="Times New Roman" w:hAnsi="Times New Roman"/>
          <w:sz w:val="18"/>
          <w:szCs w:val="18"/>
          <w:color w:val="auto"/>
        </w:rPr>
        <w:t>No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Default has occurred and is continuing.</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5.28.</w:t>
      </w:r>
      <w:r>
        <w:rPr>
          <w:sz w:val="20"/>
          <w:szCs w:val="20"/>
          <w:color w:val="auto"/>
        </w:rPr>
        <w:tab/>
      </w:r>
      <w:r>
        <w:rPr>
          <w:rFonts w:ascii="Times New Roman" w:cs="Times New Roman" w:eastAsia="Times New Roman" w:hAnsi="Times New Roman"/>
          <w:sz w:val="17"/>
          <w:szCs w:val="17"/>
          <w:color w:val="auto"/>
        </w:rPr>
        <w:t>Senior Indebtedness.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(including, without limitation, the Guarantee of each Guarantor under the Loan Documents) constitute senior Indebtedness of each of the Loan Parties.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5.29.</w:t>
      </w:r>
      <w:r>
        <w:rPr>
          <w:sz w:val="20"/>
          <w:szCs w:val="20"/>
          <w:color w:val="auto"/>
        </w:rPr>
        <w:tab/>
      </w:r>
      <w:r>
        <w:rPr>
          <w:rFonts w:ascii="Times New Roman" w:cs="Times New Roman" w:eastAsia="Times New Roman" w:hAnsi="Times New Roman"/>
          <w:sz w:val="18"/>
          <w:szCs w:val="18"/>
          <w:color w:val="auto"/>
        </w:rPr>
        <w:t>Representations as to Foreign Obligors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(a)           Each Foreign Obligor is subject to civil and commercial Laws with respect to its obligations under this Agreement and the other Loan Documents to which it is a party (collectively as to such Foreign Obligor, the “</w:t>
      </w:r>
      <w:r>
        <w:rPr>
          <w:rFonts w:ascii="Times New Roman" w:cs="Times New Roman" w:eastAsia="Times New Roman" w:hAnsi="Times New Roman"/>
          <w:sz w:val="18"/>
          <w:szCs w:val="18"/>
          <w:i w:val="1"/>
          <w:iCs w:val="1"/>
          <w:u w:val="single" w:color="auto"/>
          <w:color w:val="auto"/>
        </w:rPr>
        <w:t>Applicable Foreign Obligor Documents</w:t>
      </w:r>
      <w:r>
        <w:rPr>
          <w:rFonts w:ascii="Times New Roman" w:cs="Times New Roman" w:eastAsia="Times New Roman" w:hAnsi="Times New Roman"/>
          <w:sz w:val="18"/>
          <w:szCs w:val="18"/>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of the Applicable Foreign Obligor Documents.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5.30.</w:t>
      </w:r>
      <w:r>
        <w:rPr>
          <w:sz w:val="20"/>
          <w:szCs w:val="20"/>
          <w:color w:val="auto"/>
        </w:rPr>
        <w:tab/>
      </w:r>
      <w:r>
        <w:rPr>
          <w:rFonts w:ascii="Times New Roman" w:cs="Times New Roman" w:eastAsia="Times New Roman" w:hAnsi="Times New Roman"/>
          <w:sz w:val="17"/>
          <w:szCs w:val="17"/>
          <w:color w:val="auto"/>
        </w:rPr>
        <w:t>EEA Financial Institutions.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Loan Party is an EEA Financial Institution.</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5.31.</w:t>
      </w:r>
      <w:r>
        <w:rPr>
          <w:sz w:val="20"/>
          <w:szCs w:val="20"/>
          <w:color w:val="auto"/>
        </w:rPr>
        <w:tab/>
      </w:r>
      <w:r>
        <w:rPr>
          <w:rFonts w:ascii="Times New Roman" w:cs="Times New Roman" w:eastAsia="Times New Roman" w:hAnsi="Times New Roman"/>
          <w:sz w:val="18"/>
          <w:szCs w:val="18"/>
          <w:color w:val="auto"/>
        </w:rPr>
        <w:t>Covered Entities.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Loan Party is a Covered Entity.</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5.32.</w:t>
      </w:r>
      <w:r>
        <w:rPr>
          <w:sz w:val="20"/>
          <w:szCs w:val="20"/>
          <w:color w:val="auto"/>
        </w:rPr>
        <w:tab/>
      </w:r>
      <w:r>
        <w:rPr>
          <w:rFonts w:ascii="Times New Roman" w:cs="Times New Roman" w:eastAsia="Times New Roman" w:hAnsi="Times New Roman"/>
          <w:sz w:val="18"/>
          <w:szCs w:val="18"/>
          <w:color w:val="auto"/>
        </w:rPr>
        <w:t>Beneficial Ownership 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included in the Beneficial Ownership Certification, if applicable, is true and correct in all respects.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0000FF"/>
        </w:rPr>
        <w:t>5.33.</w:t>
      </w:r>
      <w:r>
        <w:rPr>
          <w:sz w:val="20"/>
          <w:szCs w:val="20"/>
          <w:color w:val="auto"/>
        </w:rPr>
        <w:tab/>
      </w:r>
      <w:r>
        <w:rPr>
          <w:rFonts w:ascii="Times New Roman" w:cs="Times New Roman" w:eastAsia="Times New Roman" w:hAnsi="Times New Roman"/>
          <w:sz w:val="18"/>
          <w:szCs w:val="18"/>
          <w:u w:val="single" w:color="auto"/>
          <w:color w:val="0000FF"/>
        </w:rPr>
        <w:t>Outbound Investment Rule.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0000FF"/>
        </w:rPr>
        <w:t>Neither Borrower nor any of its Subsidiaries is a “covered foreign person” as that term is used in the Outbound Investment Rules. Neither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or such applicable Subsidiary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Loan Parties hereby covenants and agrees that on the Closing Date and thereafter until the Facility Termination Date, such Loan Party shall, and shall cause each of its Restricted Subsidiaries to:</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6.01.</w:t>
      </w:r>
      <w:r>
        <w:rPr>
          <w:sz w:val="20"/>
          <w:szCs w:val="20"/>
          <w:color w:val="auto"/>
        </w:rPr>
        <w:tab/>
      </w:r>
      <w:r>
        <w:rPr>
          <w:rFonts w:ascii="Times New Roman" w:cs="Times New Roman" w:eastAsia="Times New Roman" w:hAnsi="Times New Roman"/>
          <w:sz w:val="17"/>
          <w:szCs w:val="17"/>
          <w:color w:val="auto"/>
        </w:rPr>
        <w:t>Existence; Compliance with Laws; Business and Properties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Do or cause to be done all things necessary to preserve, renew and keep in full force and effect its legal existence, except (i) as otherwise expressly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(ii) the Surviving Company Conversion.</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Except where any such failure would not reasonably be expected to have a Material Adverse Effect, do or cause to be done all things necessary to obtain, preserve, renew, extend and keep in full force and effect the licenses, permits, franchises, authorizations, Intellectual Property and trade names material to the conduct of the business of the Borrower and the Restricted Subsidiaries, taken as a whole; comply in all material respects with all applicable laws, rules, regulations and decrees and orders of any Governmental Authority, whether now in effect or hereafter enacted and all contractual obligations under any indenture, instrument or agreement pursuant to which any Material Indebtedness of the Borrower or any of the Restricted Subsidiaries is outstanding; and except as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at all times maintain and preserve all property material to the conduct of such business and keep such property in good repair, working order and condition (ordinary wear and tear excepted) and from time to time make, or cause to be made, all needful and proper repairs, renewals, additions, improvements and replacements thereto necessary in order that the business carried on in connection therewith may be properly conducted at all times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the event of an Involuntary Disposition relating to no more than two separate facilities at any one time, the Loan Parties shall have a reasonable time period to repair and/or replace such facilities).</w:t>
      </w:r>
    </w:p>
    <w:p>
      <w:pPr>
        <w:spacing w:after="0" w:line="18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6.02.</w:t>
      </w:r>
      <w:r>
        <w:rPr>
          <w:sz w:val="20"/>
          <w:szCs w:val="20"/>
          <w:color w:val="auto"/>
        </w:rPr>
        <w:tab/>
      </w:r>
      <w:r>
        <w:rPr>
          <w:rFonts w:ascii="Times New Roman" w:cs="Times New Roman" w:eastAsia="Times New Roman" w:hAnsi="Times New Roman"/>
          <w:sz w:val="17"/>
          <w:szCs w:val="17"/>
          <w:color w:val="auto"/>
        </w:rPr>
        <w:t>Insurance.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Keep its insurable property and business adequately insured at all times by financially sound and reputable insurers; maintain such other insurance, to such extent and against such risks, including fire and other risks insured against by extended coverage, as is customary with companies in the same or similar businesses operating in the same or similar locations, of such types and in such amounts as are customarily carried under similar circumstances by such other Persons.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Promptly following the Administrative Agent’s request, cause all such policies covering any Collateral and public liability (except third party, product liability and business interruption) to be endorsed or otherwise amended to include a customary lender’s loss payable endorsement and/or additional insured endorsement, as applicable, in form and substance reasonably satisfactory to the Administrative Agent, which endorsement shall provide that, from and after the Closing Date, if the insurance carrier shall have received written notice from the Administrative Agent or the Administrative Agent of the occurrence of an Event of Default, the insurance carrier shall pay all proceeds otherwise payable to the Borrower or the Loan Parties under such policies directly to the Administrative Agent; cause all such policies to provide that neither the Borrower, the Administrative Agent, the Administrative Agent nor any other party shall be a coinsurer thereunder and, to the extent customarily available at a commercially reasonable cost, to contain a “</w:t>
      </w:r>
      <w:r>
        <w:rPr>
          <w:rFonts w:ascii="Times New Roman" w:cs="Times New Roman" w:eastAsia="Times New Roman" w:hAnsi="Times New Roman"/>
          <w:sz w:val="18"/>
          <w:szCs w:val="18"/>
          <w:u w:val="single" w:color="auto"/>
          <w:color w:val="auto"/>
        </w:rPr>
        <w:t>Replacement Cost Endorsement</w:t>
      </w:r>
      <w:r>
        <w:rPr>
          <w:rFonts w:ascii="Times New Roman" w:cs="Times New Roman" w:eastAsia="Times New Roman" w:hAnsi="Times New Roman"/>
          <w:sz w:val="18"/>
          <w:szCs w:val="18"/>
          <w:color w:val="auto"/>
        </w:rPr>
        <w:t>”, without any deduction for depreciation, and such other provisions as the Administrative Agent or the Administrative Agent may reasonably require from time to time to protect their interests; deliver certificates of each such policies (and if reasonably requested, certified copies of all such policies) to the Administrative Agent; cause each such policy, to the extent customarily available at a commercially reasonable cost, to provide that it shall not be canceled, modified or not renewed (i) by reason of nonpayment of premium upon not less than 10 days’ prior written notice thereof by the insurer to the Administrative Agent (giving the Administrative Agent the right to cure defaults in the payment of premiums), or (ii) for any other reason upon not less than 30 days’ prior written notice thereof by the insurer to the Administrative Agent; deliver to the Administrative Agent, prior to the cancellation, modification or non-renewal of any such policy of insurance, a copy of a renewal or replacement policy (or other evidence of renewal of a policy previously delivered to the Administrative Agent) together with evidence reasonably satisfactory to the Administrative Agent of payment of the premium therefor.</w:t>
      </w:r>
    </w:p>
    <w:p>
      <w:pPr>
        <w:spacing w:after="0" w:line="200" w:lineRule="exact"/>
        <w:rPr>
          <w:sz w:val="20"/>
          <w:szCs w:val="20"/>
          <w:color w:val="auto"/>
        </w:rPr>
      </w:pPr>
    </w:p>
    <w:p>
      <w:pPr>
        <w:spacing w:after="0" w:line="20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6" w:name="page127"/>
    <w:bookmarkEnd w:id="126"/>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Notify the Administrative Agent promptly whenever any separate insurance concurrent in form or contributing in the event of loss with that required to be maintained under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is taken out by any Loan Party; and promptly deliver to the Administrative Agent certificates evidencing such policy or policies.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6.03.</w:t>
      </w:r>
      <w:r>
        <w:rPr>
          <w:sz w:val="20"/>
          <w:szCs w:val="20"/>
          <w:color w:val="auto"/>
        </w:rPr>
        <w:tab/>
      </w:r>
      <w:r>
        <w:rPr>
          <w:rFonts w:ascii="Times New Roman" w:cs="Times New Roman" w:eastAsia="Times New Roman" w:hAnsi="Times New Roman"/>
          <w:sz w:val="17"/>
          <w:szCs w:val="17"/>
          <w:color w:val="auto"/>
        </w:rPr>
        <w:t>Payment of Obligations and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Pay its Indebtedness and other obligations promptly and in accordance with their terms and pay and discharge promptly when due all material Taxes, assessments and governmental charges or levies imposed upon it or upon its income or profits or in respect of its property, before the same shall become delinquent or in default, as well as all lawful claims for labor, materials and supplies or otherwise that, if unpaid, might give rise to a Lien upon such properties or any part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payment and discharge shall not be required with respect to any such Indebtedness, obligations, Tax, assessment, charge, levy or claim so long as the validity or amount thereof shall be diligently contested in good faith by appropriate proceedings and the Borrower shall have set aside on its books adequate reserves with respect thereto in accordance with GAAP and such contest operates to suspend collection of the contested obligation, tax, assessment or charge and enforcement of a Lien.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6.04.</w:t>
      </w:r>
      <w:r>
        <w:rPr>
          <w:sz w:val="20"/>
          <w:szCs w:val="20"/>
          <w:color w:val="auto"/>
        </w:rPr>
        <w:tab/>
      </w:r>
      <w:r>
        <w:rPr>
          <w:rFonts w:ascii="Times New Roman" w:cs="Times New Roman" w:eastAsia="Times New Roman" w:hAnsi="Times New Roman"/>
          <w:sz w:val="17"/>
          <w:szCs w:val="17"/>
          <w:color w:val="auto"/>
        </w:rPr>
        <w:t>Financial Statements, Reports, etc.</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case of the Borrower, furnish to the Administrative Agent, which shall promptly furnish the following information to each Lender in accordance with its customary practice:</w:t>
      </w:r>
    </w:p>
    <w:p>
      <w:pPr>
        <w:spacing w:after="0" w:line="16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within 90 days after the end of each fiscal year, commencing with the fiscal year in which the Closing Date occurs, its Consolidated and consolidating balance sheet and related statements of income, stockholders’ equity and cash flows showing the financial condition of the Borrower and its Subsidiaries as of the close of such fiscal year and the results of its operations and the operations of such Subsidiaries during such year, together with comparative figures for the immediately preceding fiscal year, all audited by independent public accountants of recognized standing and accompanied by an opinion of such accountants to the effect that such Consolidated financial statements fairly present the financial condition and results of operations of the Borrower and its Subsidiaries, on a Consolidated and consolidating basis, in accordance with GAAP consistently applied (which opinion shall not be qualified as to scope or contain any going concern or other qualification, explanation or similar provision (except for any such going concern qualification, explanation or similar provision pertaining to one or more debt maturities hereunder occurring within 12 months of the date of the relevant audit opinion));</w:t>
      </w:r>
    </w:p>
    <w:p>
      <w:pPr>
        <w:spacing w:after="0" w:line="188"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(i) within 30 days after the end of each calendar month (or, if such calendar month is the last calendar month of a fiscal quarter,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within 45 days after the end of such calendar month), commencing with the first full calendar month following the Seventh Amendment Effective Date; its Consolidated and consolidating balance sheet and related statements of income, stockholders’ equity and cash flows showing the financial condition of the Borrower and its Subsidiaries as of the close of such calendar month and the results of its operations and the operations of such Subsidiaries during such calendar month and the then elapsed portion of the fiscal year, together with comparative figures for the same periods in the immediately preceding fiscal year, all certified by one of the Responsible Officers of the Borrower, as fairly presenting the financial condition and results of operations of the Borrower and its Subsidiaries, on a Consolidated basis in accordance with GAAP consistently applied, subject to normal year-end audit adjustments and the absence of footnotes;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left="640" w:firstLine="4"/>
        <w:spacing w:after="0" w:line="255" w:lineRule="auto"/>
        <w:tabs>
          <w:tab w:leader="none" w:pos="895" w:val="left"/>
        </w:tabs>
        <w:numPr>
          <w:ilvl w:val="0"/>
          <w:numId w:val="4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within 45 days after the end of each of the first three fiscal quarters of each fiscal year, commencing with the fiscal quarter 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September 30, 2020, its Consolidated and consolidating balance sheet and related statements of income, stockholders’ equity and cash flows showing the financial condition of the Borrower and its Subsidiaries as of the close of such fiscal quarter and the results of its operations and the operations of such Subsidiaries during such fiscal quarter and the then elapsed portion of the fiscal year, together with comparative figures for the same periods in the immediately preceding fiscal year, all certified by one of the Responsible Officers of the Borrower, as fairly presenting the financial condition and results of operations of the Borrower and its Subsidiaries, on a Consolidated basis in accordance with GAAP consistently applied, subject to normal year-end audit adjustments and the absence of footnotes;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concurrently with any delivery of financial statements under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or 6.04(b)</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xml:space="preserve">, a certificate of the accounting firm (in the case of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(to the extent that the accounting firm is willing to provide such certificate in accordance with its customary business practice and may be limited to accounting matters and disclaim responsibility for legal interpretations), certifying that no Event of Default or Default has occurred as of the last day of the period to which such financial statements relate, if such an Event of Default or Default has occurred, specifying the nature and extent thereof and any corrective action taken or proposed to be taken with respect thereto;</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concurrently with the delivery of the financial statements referred to in </w:t>
      </w:r>
      <w:r>
        <w:rPr>
          <w:rFonts w:ascii="Times New Roman" w:cs="Times New Roman" w:eastAsia="Times New Roman" w:hAnsi="Times New Roman"/>
          <w:sz w:val="18"/>
          <w:szCs w:val="18"/>
          <w:u w:val="single" w:color="auto"/>
          <w:color w:val="auto"/>
        </w:rPr>
        <w:t>Sections 6.04(a</w:t>
      </w:r>
      <w:r>
        <w:rPr>
          <w:rFonts w:ascii="Times New Roman" w:cs="Times New Roman" w:eastAsia="Times New Roman" w:hAnsi="Times New Roman"/>
          <w:sz w:val="18"/>
          <w:szCs w:val="18"/>
          <w:color w:val="auto"/>
        </w:rPr>
        <w:t>) and (b)</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xml:space="preserve"> commencing with the delivery of the financial statements for the fiscal quarter ended September 30, 2020, a duly completed Compliance Certificate signed by a Responsible Officer of the Borrower, and in the event of any change in generally accepted accounting principles used in the preparation of such financial statements, the Borrower shall also provide, if necessary for the determination of compliance with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a statement of reconciliation conforming such financial statements to GAAP, and the pro forma adjustments necessary to eliminate the accounts of Unrestricted Subsidiaries (if any) from such financial statements. Unless the Administrative Agent or a Lender requests executed originals, delivery of the Compliance Certificate may be by electronic communication including fax or email and shall be deemed to be an original and authentic counterpart thereof for all purposes</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(e)           to the extent applicable, promptly after the same become publicly available, copies of all periodic and other reports, proxy statements and other materials filed by the Borrower or any Subsidiary with the Securities and Exchange Commission, or any Governmental Authority succeeding to any or all of the functions of said Commission, or with any national securities exchange, or distributed to its shareholders, as the case may be;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Borrower shall not be required to deliver separately such material to the Administrative Agent or any Lender, so long as the Administrative Agent and Lenders have access to such publicly available materials;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promptly after the receipt thereof by the Borrower, the Guarantors or any of their respective Subsidiaries, a copy of any final “</w:t>
      </w:r>
      <w:r>
        <w:rPr>
          <w:rFonts w:ascii="Times New Roman" w:cs="Times New Roman" w:eastAsia="Times New Roman" w:hAnsi="Times New Roman"/>
          <w:sz w:val="18"/>
          <w:szCs w:val="18"/>
          <w:u w:val="single" w:color="auto"/>
          <w:color w:val="auto"/>
        </w:rPr>
        <w:t>management letter</w:t>
      </w:r>
      <w:r>
        <w:rPr>
          <w:rFonts w:ascii="Times New Roman" w:cs="Times New Roman" w:eastAsia="Times New Roman" w:hAnsi="Times New Roman"/>
          <w:sz w:val="18"/>
          <w:szCs w:val="18"/>
          <w:color w:val="auto"/>
        </w:rPr>
        <w:t>” received by any such Person from its certified public accountants relating to any deficiency or weakness in accounting practices or in reported results of the Borrower, any Subsidiary or any Guarantor and the management’s response thereto to the extent such accountants are willing to provide such letters;</w:t>
      </w:r>
    </w:p>
    <w:p>
      <w:pPr>
        <w:spacing w:after="0" w:line="39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8" w:name="page129"/>
    <w:bookmarkEnd w:id="128"/>
    <w:p>
      <w:pPr>
        <w:jc w:val="both"/>
        <w:ind w:firstLine="648"/>
        <w:spacing w:after="0" w:line="256" w:lineRule="auto"/>
        <w:rPr>
          <w:sz w:val="20"/>
          <w:szCs w:val="20"/>
          <w:color w:val="auto"/>
        </w:rPr>
      </w:pPr>
      <w:r>
        <w:rPr>
          <w:rFonts w:ascii="Times New Roman" w:cs="Times New Roman" w:eastAsia="Times New Roman" w:hAnsi="Times New Roman"/>
          <w:sz w:val="18"/>
          <w:szCs w:val="18"/>
          <w:color w:val="FF0000"/>
          <w:strike w:val="1"/>
        </w:rPr>
        <w:t>(g) </w:t>
      </w:r>
      <w:r>
        <w:rPr>
          <w:rFonts w:ascii="Times New Roman" w:cs="Times New Roman" w:eastAsia="Times New Roman" w:hAnsi="Times New Roman"/>
          <w:sz w:val="18"/>
          <w:szCs w:val="18"/>
          <w:color w:val="FF0000"/>
        </w:rPr>
        <w:t>        </w:t>
      </w:r>
      <w:r>
        <w:rPr>
          <w:rFonts w:ascii="Times New Roman" w:cs="Times New Roman" w:eastAsia="Times New Roman" w:hAnsi="Times New Roman"/>
          <w:sz w:val="18"/>
          <w:szCs w:val="18"/>
          <w:color w:val="FF0000"/>
          <w:strike w:val="1"/>
        </w:rPr>
        <w:t>  within 60 days after the beginning of each fiscal year, a budget for the Borrower in reasonable detail on a quarterly basis for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fiscal year as customarily prepared by management of the Borrower for its internal use similar in scope with the financial statements provided pursuant to </w:t>
      </w:r>
      <w:r>
        <w:rPr>
          <w:rFonts w:ascii="Times New Roman" w:cs="Times New Roman" w:eastAsia="Times New Roman" w:hAnsi="Times New Roman"/>
          <w:sz w:val="18"/>
          <w:szCs w:val="18"/>
          <w:u w:val="single" w:color="auto"/>
          <w:color w:val="FF0000"/>
          <w:strike w:val="1"/>
        </w:rPr>
        <w:t>Section 6.04(a)</w:t>
      </w:r>
      <w:r>
        <w:rPr>
          <w:rFonts w:ascii="Times New Roman" w:cs="Times New Roman" w:eastAsia="Times New Roman" w:hAnsi="Times New Roman"/>
          <w:sz w:val="18"/>
          <w:szCs w:val="18"/>
          <w:color w:val="FF0000"/>
          <w:strike w:val="1"/>
        </w:rPr>
        <w:t>, prepared in summary form, in each case, with appropriate presentation and discussion of the principal assumptions upon which such budgets are based, accompanied by the statement of a Responsible Officer of the Borrower to the effect that the budget of the Borrower is a reasonable estimate for the periods covered thereby and, promptly when available, any significant revisions of such budget, balance sheet and related statements of income, stockholders’ equity and cash flows;</w:t>
      </w:r>
    </w:p>
    <w:p>
      <w:pPr>
        <w:spacing w:after="0" w:line="187" w:lineRule="exact"/>
        <w:rPr>
          <w:sz w:val="20"/>
          <w:szCs w:val="20"/>
          <w:color w:val="auto"/>
        </w:rPr>
      </w:pPr>
    </w:p>
    <w:p>
      <w:pPr>
        <w:ind w:left="1300" w:hanging="656"/>
        <w:spacing w:after="0"/>
        <w:tabs>
          <w:tab w:leader="none" w:pos="1300" w:val="left"/>
        </w:tabs>
        <w:numPr>
          <w:ilvl w:val="0"/>
          <w:numId w:val="4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[reserved];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promptly after the request by the Administrative Agent on its own behalf or on behalf of any Lender, all documentation and other information that such Lender reasonably requests in order to comply with its ongoing obligations under applicable “</w:t>
      </w:r>
      <w:r>
        <w:rPr>
          <w:rFonts w:ascii="Times New Roman" w:cs="Times New Roman" w:eastAsia="Times New Roman" w:hAnsi="Times New Roman"/>
          <w:sz w:val="18"/>
          <w:szCs w:val="18"/>
          <w:u w:val="single" w:color="auto"/>
          <w:color w:val="auto"/>
        </w:rPr>
        <w:t>know your customer</w:t>
      </w:r>
      <w:r>
        <w:rPr>
          <w:rFonts w:ascii="Times New Roman" w:cs="Times New Roman" w:eastAsia="Times New Roman" w:hAnsi="Times New Roman"/>
          <w:sz w:val="18"/>
          <w:szCs w:val="18"/>
          <w:color w:val="auto"/>
        </w:rPr>
        <w:t>” and anti-money laundering rules and regulations, including the USA PATRIOT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in the event that the Borrower or any of its Restricted Subsidiaries intend to establish, sponsor, maintain, contribute to or incur any obligation or liability with respect to any Plan (other than a Plan disclosed in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xml:space="preserve">, the Borrower shall promptly, and in any event within 10 Business Days prior to it or any of its Restricted Subsidiaries establishing, maintaining, contributing to, or incurring an obligation with respect to, as applicable, such Plan (other than a Plan disclosed in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inform the Administrative Agent of such intention;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(j)            promptly following any request by the Administrative Agent on its own behalf or on behalf of a Lender, copies of (i) any documents described in Section 101(k)(l) of ERISA that the Borrower or any of its ERISA Affiliates may request with respect to any Multiemployer Plan and (ii) any notices described in Section 101(l)(1) of ERISA that the Borrower or any of its ERISA Affiliates may request with respect to any Multiemployer Plan;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the Borrower or any of its ERISA Affiliates have not requested such documents or notices from the administrator or sponsor of the applicable Multiemployer Plan, the Borrower or its ERISA Affiliates shall promptly make a request for such documents or notices from such administrator or sponsor and shall provide copies of such documents and notices promptly after receipt thereof;</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(k)           if, as a result of any change in accounting principles and policies from those used in the preparation of the Consolidated financial statements of the Borrower for the fiscal year ended on December 31, 2019, the Consolidated financial statements of the Borrower delivered pursuant to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6.04(b)</w:t>
      </w:r>
      <w:r>
        <w:rPr>
          <w:rFonts w:ascii="Times New Roman" w:cs="Times New Roman" w:eastAsia="Times New Roman" w:hAnsi="Times New Roman"/>
          <w:sz w:val="18"/>
          <w:szCs w:val="18"/>
          <w:color w:val="auto"/>
        </w:rPr>
        <w:t xml:space="preserve"> will differ in any material respect from the Consolidated financial statements that would have been delivered pursuant to such Sections had no such change in accounting principles and policies been made, then, together with the first delivery of such financial statements after such change, one or more statements of reconciliation with respect to such financial statements that would have otherwise been delivered;</w:t>
      </w:r>
    </w:p>
    <w:p>
      <w:pPr>
        <w:spacing w:after="0" w:line="200" w:lineRule="exact"/>
        <w:rPr>
          <w:sz w:val="20"/>
          <w:szCs w:val="20"/>
          <w:color w:val="auto"/>
        </w:rPr>
      </w:pPr>
    </w:p>
    <w:p>
      <w:pPr>
        <w:spacing w:after="0" w:line="20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9" w:name="page130"/>
    <w:bookmarkEnd w:id="12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            the Borrower hereby acknowledges that (i) the Administrative Agent and/or an Affiliate thereof may, but shall not be obligated to, make available to the Lenders and the L/C Issuer materials and/or information provided by or on behalf of the Borrower hereunder (collectively, “</w:t>
      </w:r>
      <w:r>
        <w:rPr>
          <w:rFonts w:ascii="Times New Roman" w:cs="Times New Roman" w:eastAsia="Times New Roman" w:hAnsi="Times New Roman"/>
          <w:sz w:val="18"/>
          <w:szCs w:val="18"/>
          <w:i w:val="1"/>
          <w:iCs w:val="1"/>
          <w:u w:val="single" w:color="auto"/>
          <w:color w:val="auto"/>
        </w:rPr>
        <w:t>Borrower Materials</w:t>
      </w:r>
      <w:r>
        <w:rPr>
          <w:rFonts w:ascii="Times New Roman" w:cs="Times New Roman" w:eastAsia="Times New Roman" w:hAnsi="Times New Roman"/>
          <w:sz w:val="18"/>
          <w:szCs w:val="18"/>
          <w:color w:val="auto"/>
        </w:rPr>
        <w:t>”) by posting the Borrower Materials on IntraLinks, Syndtrak, ClearPar or a substantially similar electronic transmission system (the “</w:t>
      </w:r>
      <w:r>
        <w:rPr>
          <w:rFonts w:ascii="Times New Roman" w:cs="Times New Roman" w:eastAsia="Times New Roman" w:hAnsi="Times New Roman"/>
          <w:sz w:val="18"/>
          <w:szCs w:val="18"/>
          <w:i w:val="1"/>
          <w:iCs w:val="1"/>
          <w:u w:val="single" w:color="auto"/>
          <w:color w:val="auto"/>
        </w:rPr>
        <w:t>Platform</w:t>
      </w:r>
      <w:r>
        <w:rPr>
          <w:rFonts w:ascii="Times New Roman" w:cs="Times New Roman" w:eastAsia="Times New Roman" w:hAnsi="Times New Roman"/>
          <w:sz w:val="18"/>
          <w:szCs w:val="18"/>
          <w:color w:val="auto"/>
        </w:rPr>
        <w:t>”) and (ii) certain of the Lenders (each, a “</w:t>
      </w:r>
      <w:r>
        <w:rPr>
          <w:rFonts w:ascii="Times New Roman" w:cs="Times New Roman" w:eastAsia="Times New Roman" w:hAnsi="Times New Roman"/>
          <w:sz w:val="18"/>
          <w:szCs w:val="18"/>
          <w:i w:val="1"/>
          <w:iCs w:val="1"/>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so long as the Borrower is the issuer of any outstanding debt or Equity Interests that are registered or issued pursuant to a private offering or is actively contemplating issuing any such securities it will use commercially reasonable efforts to identify that portion of the Borrower Materials that may be distributed to the Public Lenders and that (A) all such Borrower Materials shall be clearly and conspicuously marked “PUBLIC” which, at a minimum, shall mean that the word “PUBLIC” shall appear prominently on the first page thereof; (B) by marking Borrower Materials “PUBLIC,” the Borrower shall be deemed to have authorized the Administrative Agent, any Affiliate thereof, the Arrangers,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);(C) all Borrower Materials marked “PUBLIC” are permitted to be made available through a portion of the Platform designated “Public Side Information;” and (D) the Administrative Agent and any Affiliate thereof and the Arrangers shall be entitled to treat any Borrower Materials that are not marked “PUBLIC” as being suitable only for posting on a portion of the Platform not designated “Public Side Information”; </w:t>
      </w:r>
      <w:r>
        <w:rPr>
          <w:rFonts w:ascii="Times New Roman" w:cs="Times New Roman" w:eastAsia="Times New Roman" w:hAnsi="Times New Roman"/>
          <w:sz w:val="18"/>
          <w:szCs w:val="18"/>
          <w:color w:val="FF0000"/>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-79375</wp:posOffset>
            </wp:positionV>
            <wp:extent cx="1936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          promptly, from time to time, after reasonable notice is given, such other information regarding the operations, business affairs and financial condition of the Borrower, any Subsidiary or any Guarantor, or compliance with the terms of any Loan Document, as the Administrative Agent (or any Lender through the Administrative Agent) may reasonably request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0000FF"/>
        </w:rPr>
        <w:t>(n)</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on or before the fifth (5th) Business Day of each calendar month, or the sixth (6th) Business Day of each calendar month if the last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calendar day of the immediately preceding month does not fall on a Business Day (or, upon the request of the Administrative Agent, on a biweekly basis commencing with the fifth (5th) Business Day or sixth (6th) Business Day of each calendar month, as applicable), commencing with the first full calendar month following the Seventh Amendment Effective Date, (i) a cash flow projection of the Borrower and its Subsidiaries for the thirteen (13) week period immediately succeeding the date of delivery thereof (each a “13-Week Cash Flow Projection”), each such 13-Week Cash Flow Projection to be prepared on a weekly basis for each week in the applicable thirteen (13) week period, all in reasonable detail, in form reasonably satisfactory to the Administrative Agent, and certified by a Financial Officer of the Borrower, as being prepared in good faith by the Borrower and based on assumptions believed by the Borrower at the time made to be reasonable, and (ii) a report reconciling such actual cash flows for the applicable period with the previously delivered 13-Week Cash Flow Projection, including a narrative explanation of any significant increase or decrease in any line item category;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(o)</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commencing with the second full calendar week following the Seventh Amendment Effective Date and on a bi-weekly basis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thereafter, within two (2) Business Days after the end of each two (2) calendar week period, a report providing a calculation of Liquidity for such two (2) calendar week period;</w:t>
      </w:r>
    </w:p>
    <w:p>
      <w:pPr>
        <w:spacing w:after="0" w:line="39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0" w:name="page131"/>
    <w:bookmarkEnd w:id="130"/>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(p)</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on or before February 28, 2027, (i) an annual budget of Borrower and its Subsidiaries on a Consolidated basis and (ii) projected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Consolidated balance sheets and statements of income or operations of Borrower and its Subsidiaries on a monthly basis for the fiscal year 2027, prepared by management of the Borrower, in form reasonably satisfactory to the Administrative Agent;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(q)</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within 45 days after the end of each fiscal quarter, commencing with the fiscal quarter ending June 30, 2026, quarterly projections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for the current fiscal year, including projected financial covenant levels, Consolidated projected balance sheets and statements of income and cash flows of Borrower and its Subsidiaries, along with a narrative explanation of any significant variances from the most recent set of quarterly projections delivered to the Administrative Agent.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6.05.</w:t>
      </w:r>
      <w:r>
        <w:rPr>
          <w:sz w:val="20"/>
          <w:szCs w:val="20"/>
          <w:color w:val="auto"/>
        </w:rPr>
        <w:tab/>
      </w:r>
      <w:r>
        <w:rPr>
          <w:rFonts w:ascii="Times New Roman" w:cs="Times New Roman" w:eastAsia="Times New Roman" w:hAnsi="Times New Roman"/>
          <w:sz w:val="18"/>
          <w:szCs w:val="18"/>
          <w:color w:val="auto"/>
        </w:rPr>
        <w:t>Litigation and Other 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 to the Administrative Agent prompt written notice after obtaining knowledge thereof of the following: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any Event of Default or Default, specifying the nature and extent thereof and the corrective action (if any) taken or proposed to be taken with respect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filing or commencement of any action, suit or proceeding, whether at law or in equity or by or before any Governmental Authority, (i) against the Borrower or any of its Restricted Subsidiaries that could reasonably be expected to result in a Material Adverse Effect, or (ii) challenging the validity, enforceability or priority of any Loan Document;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occurrence of any ERISA Event that, alone or together with any other ERISA Events that have occurred, could reasonably be expected to result in liability of the Borrower or the Restricted Subsidiaries in an aggregate amount exceeding $5,000,000;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the occurrence of an Involuntary Disposition or a series of Involuntary Dispositions with a value of at least $5,000,000 or any other event or series of events which could reasonably be expected to adversely affect the value of the Collateral by at least $5,000,000;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to the extent any Loan Party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 and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           any other development that has resulted in, or would reasonably be expected to result in, a Material Adverse Effect.</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6.06.</w:t>
      </w:r>
      <w:r>
        <w:rPr>
          <w:sz w:val="20"/>
          <w:szCs w:val="20"/>
          <w:color w:val="auto"/>
        </w:rPr>
        <w:tab/>
      </w:r>
      <w:r>
        <w:rPr>
          <w:rFonts w:ascii="Times New Roman" w:cs="Times New Roman" w:eastAsia="Times New Roman" w:hAnsi="Times New Roman"/>
          <w:sz w:val="18"/>
          <w:szCs w:val="18"/>
          <w:color w:val="auto"/>
        </w:rPr>
        <w:t>Information Regarding Collateral.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Furnish to the Administrative Agent prompt written notice of any change (i) in any Loan Party’s corporate name, (ii) in the jurisdiction of organization or formation of any Loan Party, (iii) in any Loan Party’s identity or corporate structure, or (iv) in any Loan Party’s Federal Taxpayer Identification Number. The Borrower agrees not to effect or permit any change referred to in the preceding sentence unless, prior to or substantially concurrently therewith, all filings have been made under the Uniform Commercial Code or otherwise that are required in order for the Administrative Agent to continue at all times following such change to have a valid, legal and perfected security interest in all the Collateral secured by it under any Collateral Document.</w:t>
      </w:r>
    </w:p>
    <w:p>
      <w:pPr>
        <w:spacing w:after="0" w:line="200" w:lineRule="exact"/>
        <w:rPr>
          <w:sz w:val="20"/>
          <w:szCs w:val="20"/>
          <w:color w:val="auto"/>
        </w:rPr>
      </w:pPr>
    </w:p>
    <w:p>
      <w:pPr>
        <w:spacing w:after="0" w:line="20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1" w:name="page132"/>
    <w:bookmarkEnd w:id="131"/>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In the case of the U.S. Loan Parties, each year, at the time of delivery of the annual financial statements with respect to the preceding applicable period pursuant to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deliver to the Administrative Agent a Compliance Certificate setting forth the information required pursuant to </w:t>
      </w:r>
      <w:r>
        <w:rPr>
          <w:rFonts w:ascii="Times New Roman" w:cs="Times New Roman" w:eastAsia="Times New Roman" w:hAnsi="Times New Roman"/>
          <w:sz w:val="18"/>
          <w:szCs w:val="18"/>
          <w:u w:val="single" w:color="auto"/>
          <w:color w:val="auto"/>
        </w:rPr>
        <w:t>Schedules 5.08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5.19(g</w:t>
      </w:r>
      <w:r>
        <w:rPr>
          <w:rFonts w:ascii="Times New Roman" w:cs="Times New Roman" w:eastAsia="Times New Roman" w:hAnsi="Times New Roman"/>
          <w:sz w:val="18"/>
          <w:szCs w:val="18"/>
          <w:color w:val="auto"/>
        </w:rPr>
        <w:t xml:space="preserve">) or confirming that there has been no change in such information since the date of the Perfection Certificate delivered pursuant to </w:t>
      </w:r>
      <w:r>
        <w:rPr>
          <w:rFonts w:ascii="Times New Roman" w:cs="Times New Roman" w:eastAsia="Times New Roman" w:hAnsi="Times New Roman"/>
          <w:sz w:val="18"/>
          <w:szCs w:val="18"/>
          <w:u w:val="single" w:color="auto"/>
          <w:color w:val="auto"/>
        </w:rPr>
        <w:t>Section 4.01(e)(i)</w:t>
      </w:r>
      <w:r>
        <w:rPr>
          <w:rFonts w:ascii="Times New Roman" w:cs="Times New Roman" w:eastAsia="Times New Roman" w:hAnsi="Times New Roman"/>
          <w:sz w:val="18"/>
          <w:szCs w:val="18"/>
          <w:color w:val="auto"/>
        </w:rPr>
        <w:t xml:space="preserve"> or the date of the most recent certificate delivered pursuant to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6.07.</w:t>
      </w:r>
      <w:r>
        <w:rPr>
          <w:sz w:val="20"/>
          <w:szCs w:val="20"/>
          <w:color w:val="auto"/>
        </w:rPr>
        <w:tab/>
      </w:r>
      <w:r>
        <w:rPr>
          <w:rFonts w:ascii="Times New Roman" w:cs="Times New Roman" w:eastAsia="Times New Roman" w:hAnsi="Times New Roman"/>
          <w:sz w:val="18"/>
          <w:szCs w:val="18"/>
          <w:color w:val="auto"/>
        </w:rPr>
        <w:t>Maintaining Records; Access to Properties and Inspections; Annual Meetings.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Keep proper books and records and accounts in which full, true and correct entries in conformity with GAAP and Applicable Law are made of all dealings and transactions in relation to its business and activities. The Borrower will, and will cause each of its Restricted Subsidiaries to, permit any representatives designated by the Administrative Agent on its own behalf or on behalf of any Lender to visit and inspect the financial records and the properties of such Person during normal business hours and upon reasonable prior notice and as often as reasonably requested (but in no event more than once annually unless a Default shall have occurred and be continuing) and to make extracts from and copies of such financial records, and permit any such representatives designated by the Administrative Agent (on behalf of itself or any Lender) to discuss the affairs, finances and condition of such Person with the officers thereof and independent accountants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when a Default exists the Administrative Agent on its own behalf or on behalf of any Lender (or any of their respective representatives) may do any of the foregoing at the expense of the Borrower. Within 150 days after the end of each fiscal year of the Borrower, at the request of the Administrative Agent or Required Lenders, hold a conference call (at a mutually agreeable time the costs of call to be paid by the Borrower) with all Lenders who choose to attend such meeting, at which meeting shall be reviewed the financial results of the previous fiscal year and the financial condition of the Borrower and its Subsidiaries and the budgets presented for the current fiscal year of the Borrower and its Subsidiaries.</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6.08.</w:t>
      </w:r>
      <w:r>
        <w:rPr>
          <w:sz w:val="20"/>
          <w:szCs w:val="20"/>
          <w:color w:val="auto"/>
        </w:rPr>
        <w:tab/>
      </w:r>
      <w:r>
        <w:rPr>
          <w:rFonts w:ascii="Times New Roman" w:cs="Times New Roman" w:eastAsia="Times New Roman" w:hAnsi="Times New Roman"/>
          <w:sz w:val="18"/>
          <w:szCs w:val="18"/>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Use the proceeds of the Credit Extensions only for the purposes set forth in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6.09.       </w:t>
      </w:r>
      <w:r>
        <w:rPr>
          <w:rFonts w:ascii="Times New Roman" w:cs="Times New Roman" w:eastAsia="Times New Roman" w:hAnsi="Times New Roman"/>
          <w:sz w:val="18"/>
          <w:szCs w:val="18"/>
          <w:color w:val="auto"/>
        </w:rPr>
        <w:t>Employee Benefits. (a) Comply in all material respects with the applicable provisions of ERISA and the Code, solely as it relates to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Multiemployer Plans, (b) not, and cause any of their Restricted Subsidiaries to not, establish, sponsor, maintain, contribute to or incur any obligation or liability with respect to any Plan (other than a Plan disclosed in </w:t>
      </w:r>
      <w:r>
        <w:rPr>
          <w:rFonts w:ascii="Times New Roman" w:cs="Times New Roman" w:eastAsia="Times New Roman" w:hAnsi="Times New Roman"/>
          <w:sz w:val="18"/>
          <w:szCs w:val="18"/>
          <w:u w:val="single" w:color="auto"/>
          <w:color w:val="auto"/>
        </w:rPr>
        <w:t>Schedule 5.15)</w:t>
      </w:r>
      <w:r>
        <w:rPr>
          <w:rFonts w:ascii="Times New Roman" w:cs="Times New Roman" w:eastAsia="Times New Roman" w:hAnsi="Times New Roman"/>
          <w:sz w:val="18"/>
          <w:szCs w:val="18"/>
          <w:color w:val="auto"/>
        </w:rPr>
        <w:t xml:space="preserve"> that would result in any obligation or liability that would result in, or could reasonably be expected to result in, a Material Adverse Effect, (c) not, and cause any of their Restricted Subsidiaries to not, contribute to or incur any obligation to contribute to any Multiemployer Plan that would result in any obligation or liability that would result in, or could reasonably be expected to result in, a Material Adverse Effect and (d) furnish to the Administrative Agent as soon as possible after, and in any event within ten days after any Responsible Officer of the Borrower or of any Restricted Subsidiaries knows or has reason to know that, any ERISA Event has occurred that, alone or together with any other ERISA Event could reasonably be expected to result in liability of the Borrower or any Restricted Subsidiary in an aggregate amount exceeding $5,000,000, a statement of a Financial Officer of the Borrower setting forth details as to such ERISA Event and the action, if any, that the Borrower or any Restricted Subsidiary proposes to take with respect thereto or that the Borrower has actual knowledge, after due inquiry by a Responsible Officer of the Borrower, that any ERISA Affiliate proposes to take with respect thereto.</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6.10.</w:t>
      </w:r>
      <w:r>
        <w:rPr>
          <w:sz w:val="20"/>
          <w:szCs w:val="20"/>
          <w:color w:val="auto"/>
        </w:rPr>
        <w:tab/>
      </w:r>
      <w:r>
        <w:rPr>
          <w:rFonts w:ascii="Times New Roman" w:cs="Times New Roman" w:eastAsia="Times New Roman" w:hAnsi="Times New Roman"/>
          <w:sz w:val="18"/>
          <w:szCs w:val="18"/>
          <w:color w:val="auto"/>
        </w:rPr>
        <w:t>Compliance with Environmental 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Comply, and require all lessees and other Persons occupying its properties to comply, in all material respects with all Environmental Laws applicable to its operations and real property; obtain and renew all material permits, licenses, authorizations and other approvals required under any Environmental Law for its operations and properties; and conduct any required remedial action to the extent required by and in material compliance with Environmental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Borrower nor any Restricted Subsidiary (other than any Immaterial Subsidiary) shall be required to undertake any such remedial action to the extent that its obligation to do so is being contested in good faith and by proper proceedings and appropriate reserves are being maintained with respect to such circumstances in accordance with GAAP.</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6.11.</w:t>
      </w:r>
      <w:r>
        <w:rPr>
          <w:sz w:val="20"/>
          <w:szCs w:val="20"/>
          <w:color w:val="auto"/>
        </w:rPr>
        <w:tab/>
      </w:r>
      <w:r>
        <w:rPr>
          <w:rFonts w:ascii="Times New Roman" w:cs="Times New Roman" w:eastAsia="Times New Roman" w:hAnsi="Times New Roman"/>
          <w:sz w:val="17"/>
          <w:szCs w:val="17"/>
          <w:color w:val="auto"/>
        </w:rPr>
        <w:t>Environmental Reporting.</w:t>
      </w:r>
    </w:p>
    <w:p>
      <w:pPr>
        <w:spacing w:after="0" w:line="229" w:lineRule="exact"/>
        <w:rPr>
          <w:sz w:val="20"/>
          <w:szCs w:val="20"/>
          <w:color w:val="auto"/>
        </w:rPr>
      </w:pPr>
    </w:p>
    <w:p>
      <w:pPr>
        <w:jc w:val="both"/>
        <w:ind w:left="660" w:firstLine="644"/>
        <w:spacing w:after="0" w:line="254" w:lineRule="auto"/>
        <w:tabs>
          <w:tab w:leader="none" w:pos="1566" w:val="left"/>
        </w:tabs>
        <w:numPr>
          <w:ilvl w:val="0"/>
          <w:numId w:val="4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 xml:space="preserve">The Borrower shall give the Administrative Agent prompt notice (containing reasonable detail) upon obtaining knowledge of any matter that would reasonably be expected to result in the Borrower or any Restricted Subsidiary (other than any Immaterial Subsidiary) incurring Environmental Liabilities in excess of $1,000,000 in the aggregate, and (b) if (i) notice is provided to the Administrative Agent under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u w:val="single" w:color="auto"/>
          <w:color w:val="FF0000"/>
        </w:rPr>
        <w:t>(a</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or (ii) a breach of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have occurred and be continuing for more than 30 days without the Borrower or any Domestic Subsidiary commencing activities reasonably likely to cure such breach, at the written request of the Required Lenders through the Administrative Agent, provide to the Lenders within 60 days after such notice or request, at the expense of the Loan Parties, an environmental report regarding the matters which are the subject of such notice or request, the steps being taken to address such matters and their estimated cost, which environmental report shall be prepared by an environmental consulting firm reasonably acceptable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-629285</wp:posOffset>
            </wp:positionV>
            <wp:extent cx="1270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6.12.</w:t>
      </w:r>
      <w:r>
        <w:rPr>
          <w:sz w:val="20"/>
          <w:szCs w:val="20"/>
          <w:color w:val="auto"/>
        </w:rPr>
        <w:tab/>
      </w:r>
      <w:r>
        <w:rPr>
          <w:rFonts w:ascii="Times New Roman" w:cs="Times New Roman" w:eastAsia="Times New Roman" w:hAnsi="Times New Roman"/>
          <w:sz w:val="17"/>
          <w:szCs w:val="17"/>
          <w:color w:val="auto"/>
        </w:rPr>
        <w:t>Further Assurances.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Take the following actions, in each case subject to clause (d) of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Except with respect to Excluded Property, the U.S. Loan Parties shall execute any and all further documents, agreements and instruments, and take all further action (including filing UCC and other financing statements) that may be required under applicable law, or that the Required Lenders, the Administrative Agent or the Administrative Agent may reasonably request, in order to effectuate the transactions contemplated by the Loan Documents and in order to grant, preserve, protect and perfect the validity and priority of the security interests created or intended to be created by the Collateral Documents. In addition, from time to time, the U.S. Loan Parties will, at their cost and expense, promptly secure the Secured Obligations by pledging or creating, or causing to be pledged or created, perfected security interests with respect to such of its assets and properties (other than Excluded Property) as the Administrative Agent or the Required Lenders shall reasonably designate (it being understood that it is the intent of the parties that the Secured Obligations shall be secured by substantially all the assets of the Borrower and the Guarantors (other than Excluded Property)), subject to such exceptions as are contained or may hereafter be contained in the Collateral Documents from time to time. Such security interests and Liens will be created under the Collateral Documents and other security agreements and other instruments and documents in form and substance reasonably satisfactory to the Administrative Agent, and the Borrower shall deliver or cause to be delivered to the Lenders all such instruments and documents (including, without limitation, legal opinions, lien searches and such other certificates and documents as are consistent with those delivered in connection with the Collateral on the Closing Date) as the Administrative Agent shall reasonably request to evidence compliance with this Section. The Borrower and the other U.S. Loan Parties agree to provide such evidence as the Administrative Agent shall reasonably request as to the perfection and priority status of each such security interest and Lien. Notwithstanding anything herein or in any Loan Document to the contrary, in no event shall any U.S. Loan Party be required to provide any kind of mortgage or leasehold mortgage with respect to any real property or pledge more than 65% of the voting stock of any Foreign Subsidiary owned by such Loan Party organized under the laws of Brazil (and, for the avoidance of doubt, no foreign Subsidiary shall be required to pledge any of its assets).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Upon the acquisition or formation by any of the Loan Parties of any Restricted Subsidiary, or the designation of an Unrestricted Subsidiary as a Restricted Subsidiary, in each case, that is a wholly owned Restricted Subsidiary and a Material Subsidiary, the Borrower shall cause the Person so acquired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formed </w:t>
      </w:r>
      <w:r>
        <w:rPr>
          <w:rFonts w:ascii="Times New Roman" w:cs="Times New Roman" w:eastAsia="Times New Roman" w:hAnsi="Times New Roman"/>
          <w:sz w:val="18"/>
          <w:szCs w:val="18"/>
          <w:u w:val="single" w:color="auto"/>
          <w:color w:val="0000FF"/>
        </w:rPr>
        <w:t>or designated</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Additional Guarantor</w:t>
      </w:r>
      <w:r>
        <w:rPr>
          <w:rFonts w:ascii="Times New Roman" w:cs="Times New Roman" w:eastAsia="Times New Roman" w:hAnsi="Times New Roman"/>
          <w:sz w:val="18"/>
          <w:szCs w:val="18"/>
          <w:color w:val="auto"/>
        </w:rPr>
        <w:t>”), as the case may be, to become a Guarantor of the Secured Obligations. Such Additional Guarantor shall become a Loan Party by executing a Joinder Agreement and, if such Additional Guarantor is a Domestic Subsidiary, each other applicable Collateral Document in favor of the Administrative Agent. In addition, (i) such Additional Guarantor which is a Domestic Subsidiary shall execute and deliver such agreements and documents as the Administrative Agent, Administrative Agent or the Required Lenders may reasonably request to grant a perfected Lien in respect of substantially all of its personal property (other than Excluded Property) in favor of the Administrative Agent and the Lenders, subject to such exceptions as are contained or may hereafter be contained in the Collateral Documents from time to time, and (ii) the U.S. Loan Parties owning Equity Interests in such Additional Guarantor shall pledge all such Equity Interests in such Additional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-1038860</wp:posOffset>
            </wp:positionV>
            <wp:extent cx="1320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2080" cy="8255"/>
                    </a:xfrm>
                    <a:prstGeom prst="rect">
                      <a:avLst/>
                    </a:prstGeom>
                    <a:noFill/>
                  </pic:spPr>
                </pic:pic>
              </a:graphicData>
            </a:graphic>
          </wp:anchor>
        </w:drawing>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Promptly following the Administrative Agent’s reasonable request, the Borrower shall execute, or shall cause its relevant Restricted Subsidiaries to execute any and all further related documents and take all further related action that may be required under applicable law, or that the Required Lenders, the Administrative Agent or the Administrative Agent may request in their sole discretion, in order to effectuate the transactions contemplated by the Loan Documents and in order to grant, preserve, protect and perfect the validity and priority of the security interests created or intended to be created by the Collateral Documents.</w:t>
      </w:r>
    </w:p>
    <w:p>
      <w:pPr>
        <w:spacing w:after="0" w:line="39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34" w:name="page135"/>
    <w:bookmarkEnd w:id="134"/>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In connection with the foregoing, the Loan Parties shall deliver to the Administrative Agent, with respect to each new Guarantor to the extent applicable, substantially the same documentation required pursuant to </w:t>
      </w:r>
      <w:r>
        <w:rPr>
          <w:rFonts w:ascii="Times New Roman" w:cs="Times New Roman" w:eastAsia="Times New Roman" w:hAnsi="Times New Roman"/>
          <w:sz w:val="18"/>
          <w:szCs w:val="18"/>
          <w:u w:val="single" w:color="auto"/>
          <w:color w:val="auto"/>
        </w:rPr>
        <w:t>Sections 4.01(b</w:t>
      </w:r>
      <w:r>
        <w:rPr>
          <w:rFonts w:ascii="Times New Roman" w:cs="Times New Roman" w:eastAsia="Times New Roman" w:hAnsi="Times New Roman"/>
          <w:sz w:val="18"/>
          <w:szCs w:val="18"/>
          <w:color w:val="auto"/>
        </w:rPr>
        <w:t xml:space="preserve">) – (f) and such other documents or agreements as the Administrative Agent may reasonably request, including without limitation, updated </w:t>
      </w:r>
      <w:r>
        <w:rPr>
          <w:rFonts w:ascii="Times New Roman" w:cs="Times New Roman" w:eastAsia="Times New Roman" w:hAnsi="Times New Roman"/>
          <w:sz w:val="18"/>
          <w:szCs w:val="18"/>
          <w:u w:val="single" w:color="auto"/>
          <w:color w:val="auto"/>
        </w:rPr>
        <w:t>Schedules 5.08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5.20(a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each new Guarantor that is a Foreign Subsidiary, such documents and agreements shall be substantially similar to those delivered on the Closing Date for the Foreign Subsidiaries that are Loan Parties (including, to the extent the Administrative Agent reasonably requests, a legal opinion).</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(e)           Except for Excluded Accounts, each of the U.S. Loan Parties shall not open, maintain or otherwise have any deposit or other accounts (including securities accounts) at any bank or other financial institution, or any other account where money or securities are or may be deposited or maintained with any Person, other than (i) deposit accounts that are maintained at all times with depositary institutions as to which the Administrative Agent shall have received a Qualifying Control Agreement </w:t>
      </w:r>
      <w:r>
        <w:rPr>
          <w:rFonts w:ascii="Times New Roman" w:cs="Times New Roman" w:eastAsia="Times New Roman" w:hAnsi="Times New Roman"/>
          <w:sz w:val="18"/>
          <w:szCs w:val="18"/>
          <w:u w:val="single" w:color="auto"/>
          <w:color w:val="0000FF"/>
        </w:rPr>
        <w:t>(unless such accounts are maintained with Bank of America, 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the Administrative Agent does not request a Qualifying Control Agreement)</w:t>
      </w:r>
      <w:r>
        <w:rPr>
          <w:rFonts w:ascii="Times New Roman" w:cs="Times New Roman" w:eastAsia="Times New Roman" w:hAnsi="Times New Roman"/>
          <w:sz w:val="18"/>
          <w:szCs w:val="18"/>
          <w:color w:val="000000"/>
        </w:rPr>
        <w:t>, (ii) securities accounts that are maintained at all times with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financial institutions as to which the Administrative Agent shall have received a Qualifying Control Agreement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(unless such accounts are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maintained with Bank of America, N.A., and the Administrative Agent does not request a Qualifying Control Agreement),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(iii) deposit accounts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established solely as payroll and other zero balance accounts and (iv) other deposit accounts, so long as at any time the balance in any such account does not exceed $250,000 and the aggregate balance in all such accounts does not exceed $500,000.</w:t>
      </w:r>
    </w:p>
    <w:p>
      <w:pPr>
        <w:spacing w:after="0" w:line="188"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(f)           The Borrower shall, and shall cause the other U.S. Loan Parties to, take all actions and deliver all instruments and documents required under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(including the granting and perfecting of Liens and security interests as described above) to be undertaken promptly following the acquisition of any assets described above,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such actions and deliveries shall occur within 5 Business Days after the date of the acquisition of such personal property acquisition.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6.13.</w:t>
      </w:r>
      <w:r>
        <w:rPr>
          <w:sz w:val="20"/>
          <w:szCs w:val="20"/>
          <w:color w:val="auto"/>
        </w:rPr>
        <w:tab/>
      </w:r>
      <w:r>
        <w:rPr>
          <w:rFonts w:ascii="Times New Roman" w:cs="Times New Roman" w:eastAsia="Times New Roman" w:hAnsi="Times New Roman"/>
          <w:sz w:val="18"/>
          <w:szCs w:val="18"/>
          <w:color w:val="auto"/>
        </w:rPr>
        <w:t>Designation of Subsidiaries.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Borrower may at any time after the Closing Date designate any Restricted Subsidiary of the Borrower </w:t>
      </w:r>
      <w:r>
        <w:rPr>
          <w:rFonts w:ascii="Times New Roman" w:cs="Times New Roman" w:eastAsia="Times New Roman" w:hAnsi="Times New Roman"/>
          <w:sz w:val="18"/>
          <w:szCs w:val="18"/>
          <w:u w:val="single" w:color="auto"/>
          <w:color w:val="0000FF"/>
        </w:rPr>
        <w:t>that is not a Loan Party</w:t>
      </w:r>
      <w:r>
        <w:rPr>
          <w:rFonts w:ascii="Times New Roman" w:cs="Times New Roman" w:eastAsia="Times New Roman" w:hAnsi="Times New Roman"/>
          <w:sz w:val="18"/>
          <w:szCs w:val="18"/>
          <w:color w:val="auto"/>
        </w:rPr>
        <w:t xml:space="preserve"> as an Unrestricted Subsidiary or any Unrestricted Subsidiary as a Restricted Subsidiary;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(a) immediately before and after such designation, no Event of Default shall have occurred and be continuing, (b) no Subsidiary may be designated as an Unrestricted Subsidiary if such Subsidiary directly or indirectly owns any Equity Interests of, or holds a Lien on, any property of, the Borrower, any Loan Party or any Restricted Subsidiary that is not a Subsidiary to be so designated as an Unrestricted Subsidiary, (c) at no time may any Unrestricted Subsidiary own any asset or Intellectual Property that are material to the operation of the businesses of the Borrower and its Restricted Subsidiaries, (d) after giving Pro Forma Effect to such designation, the Borrower is in compliance with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last day of the applicable Measurement Period, (e) the Consolidated EBITDA of all Unrestricted Subsidiaries for the most recent Measurement Period shall not exceed 3.0% of the Consolidated EBITDA of the Borrower and its Restricted Subsidiaries for such Measurement Period, (f) any Unrestricted Subsidiary that has been subsequently designated or re-designated as a Restricted Subsidiary may not thereafter be re-designated an Unrestricted Subsidiary and </w:t>
      </w:r>
      <w:r>
        <w:rPr>
          <w:rFonts w:ascii="Times New Roman" w:cs="Times New Roman" w:eastAsia="Times New Roman" w:hAnsi="Times New Roman"/>
          <w:sz w:val="18"/>
          <w:szCs w:val="18"/>
          <w:u w:val="single" w:color="auto"/>
          <w:color w:val="0000FF"/>
        </w:rPr>
        <w:t>must become a Guarantor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pursuant to Section 6.12 hereof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 no such Unrestricted Subsidiary (or Subsidiary thereof) guarantees any Indebtedness of, or has outstanding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Investment in, the Borrower or any Restricted Subsidiary. The designation of any Subsidiary as an Unrestricted Subsidiary after the Closing Date shall constitute an Investment by the Borrower therein at the date of designation in an amount equal to the fair market value as determined in good faith by the Borrower of the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as determined in good faith by the Borrower at the date of such designation of the Borrower’s or its Subsidiary’s (as applicable) Investment in such Subsidiary.</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6.14.</w:t>
      </w:r>
      <w:r>
        <w:rPr>
          <w:sz w:val="20"/>
          <w:szCs w:val="20"/>
          <w:color w:val="auto"/>
        </w:rPr>
        <w:tab/>
      </w:r>
      <w:r>
        <w:rPr>
          <w:rFonts w:ascii="Times New Roman" w:cs="Times New Roman" w:eastAsia="Times New Roman" w:hAnsi="Times New Roman"/>
          <w:sz w:val="18"/>
          <w:szCs w:val="18"/>
          <w:color w:val="auto"/>
        </w:rPr>
        <w:t>Anti-Corruption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Sanctions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Conduct its business in compliance in all material respects with the United States Foreign Corrupt Practices Act of 1977, the UK Bribery Act 2010 and other similar anti-corruption legislation in other jurisdictions and with all applicable Sanctions, in each case, applicable to the Loan Parties, and maintain policies and procedures designed to promote and achieve compliance with such laws and Sanctions.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6.15.</w:t>
      </w:r>
      <w:r>
        <w:rPr>
          <w:sz w:val="20"/>
          <w:szCs w:val="20"/>
          <w:color w:val="auto"/>
        </w:rPr>
        <w:tab/>
      </w:r>
      <w:r>
        <w:rPr>
          <w:rFonts w:ascii="Times New Roman" w:cs="Times New Roman" w:eastAsia="Times New Roman" w:hAnsi="Times New Roman"/>
          <w:sz w:val="18"/>
          <w:szCs w:val="18"/>
          <w:color w:val="auto"/>
        </w:rPr>
        <w:t>Approvals and Authorizations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Maintain all authorizations, 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 except, in each case of the foregoing, where the failure could not reasonably be expected to have a Material Adverse Effect.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6.16.</w:t>
      </w:r>
      <w:r>
        <w:rPr>
          <w:sz w:val="20"/>
          <w:szCs w:val="20"/>
          <w:color w:val="auto"/>
        </w:rPr>
        <w:tab/>
      </w:r>
      <w:r>
        <w:rPr>
          <w:rFonts w:ascii="Times New Roman" w:cs="Times New Roman" w:eastAsia="Times New Roman" w:hAnsi="Times New Roman"/>
          <w:sz w:val="18"/>
          <w:szCs w:val="18"/>
          <w:color w:val="auto"/>
        </w:rPr>
        <w:t>Cash Management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Maintain all primary domestic cash management business with Bank of America.</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6.17.</w:t>
      </w:r>
      <w:r>
        <w:rPr>
          <w:sz w:val="20"/>
          <w:szCs w:val="20"/>
          <w:color w:val="auto"/>
        </w:rPr>
        <w:tab/>
      </w:r>
      <w:r>
        <w:rPr>
          <w:rFonts w:ascii="Times New Roman" w:cs="Times New Roman" w:eastAsia="Times New Roman" w:hAnsi="Times New Roman"/>
          <w:sz w:val="17"/>
          <w:szCs w:val="17"/>
          <w:color w:val="auto"/>
        </w:rPr>
        <w:t>Post-Closing Requirements.</w:t>
      </w:r>
    </w:p>
    <w:p>
      <w:pPr>
        <w:spacing w:after="0" w:line="229"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Execute and deliver the documents and complete the tasks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in each case within the time limits specified on such schedule, or such later date(s) as the Administrative Agent may agree in its discretion.</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(b)           Within 30 days after the Sixth Amendment Effective Date (or such longer period as shall be satisfactory to the Administrative Agent), execute and deliver to the Administrative Agent the following:</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An updated, completed Perfection Certificate, dated and signed by a Responsible Officer of the Borrower, together with all attachments contemplated thereby, including an updated organizational chart, updated schedules with respect to deposit accounts (including account numbers and whether or not such accounts are Excluded Accounts), pledged equity, and Intellectual Property of each domestic Loan Party;</w:t>
      </w:r>
    </w:p>
    <w:p>
      <w:pPr>
        <w:spacing w:after="0" w:line="18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Updated and complete schedules to the Credit Agreement (other than Schedules 6.17, 7.01, 7.02, 7.03, 7.05 and 7.08(a)), as certified by a Responsible Officer of the Borrower; and</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6" w:name="page137"/>
    <w:bookmarkEnd w:id="136"/>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Duly executed Qualifying Control Agreements (to the extent not previously delivered) for each deposit and securities account listed on updated Schedule 5.19(c) to the Credit Agreement that is not an Excluded Account.</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(c)           Within 10 days after the Sixth Amendment Effective Date, provide written confirmation, as certified by a Responsible Officer of the Borrower, to the Administrative Agent that the Borrower has received cash equity in an amount that is no less than $10,000,000.</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6.18.</w:t>
      </w:r>
      <w:r>
        <w:rPr>
          <w:sz w:val="20"/>
          <w:szCs w:val="20"/>
          <w:color w:val="auto"/>
        </w:rPr>
        <w:tab/>
      </w:r>
      <w:r>
        <w:rPr>
          <w:rFonts w:ascii="Times New Roman" w:cs="Times New Roman" w:eastAsia="Times New Roman" w:hAnsi="Times New Roman"/>
          <w:sz w:val="17"/>
          <w:szCs w:val="17"/>
          <w:color w:val="auto"/>
        </w:rPr>
        <w:t>Cooperation with Administrative Agent’s Financial Advisor.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and after the Sixth Amendment Effective Date, the Borrower shall (i) provide the Administrative Agent’s financial advisor with reasonable access to the Borrower’s facilities, financial information and members of senior management at reasonable times and places as is reasonably necessary to perform the services required under its engagement with the Administrative Agent (or its counsel) and (ii) reimburse the Administrative Agent promptly upon demand for any reasonable costs and fees incurred by the Administrative Agent (or its counsel) in connection with the engagement of such financial advisor and/or the services rendered by such financial advisor in accordance with Section 11.04(a).</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0000FF"/>
        </w:rPr>
        <w:t>6.19.</w:t>
      </w:r>
      <w:r>
        <w:rPr>
          <w:sz w:val="20"/>
          <w:szCs w:val="20"/>
          <w:color w:val="auto"/>
        </w:rPr>
        <w:tab/>
      </w:r>
      <w:r>
        <w:rPr>
          <w:rFonts w:ascii="Times New Roman" w:cs="Times New Roman" w:eastAsia="Times New Roman" w:hAnsi="Times New Roman"/>
          <w:sz w:val="18"/>
          <w:szCs w:val="18"/>
          <w:u w:val="single" w:color="auto"/>
          <w:color w:val="0000FF"/>
        </w:rPr>
        <w:t>Monthly Conferences.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The Borrower shall cause appropriate members of its management team to participate in monthly conferences with the Administrative Agent and the Lenders on the Thursday or Friday of the third full week of each calendar month (or such other day as mutually agreed to between the Administrative Agent and the Borrower), at times as mutually agreed to among the parties, to answer Lender questions and provide updates regarding business operations.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0000FF"/>
        </w:rPr>
        <w:t>6.20.</w:t>
      </w:r>
      <w:r>
        <w:rPr>
          <w:sz w:val="20"/>
          <w:szCs w:val="20"/>
          <w:color w:val="auto"/>
        </w:rPr>
        <w:tab/>
      </w:r>
      <w:r>
        <w:rPr>
          <w:rFonts w:ascii="Times New Roman" w:cs="Times New Roman" w:eastAsia="Times New Roman" w:hAnsi="Times New Roman"/>
          <w:sz w:val="17"/>
          <w:szCs w:val="17"/>
          <w:u w:val="single" w:color="auto"/>
          <w:color w:val="0000FF"/>
        </w:rPr>
        <w:t>Real Property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Promptly after the Seventh Amendment Effective Date, the Borrower shall deliver to the Administrative Agent copies of any existing U.S. based appraisals or environmental assessment reports in the possession of any U.S. Loan Party.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and after the Closing Date, the Borrower covenants and agrees with each Lender that, so long as the Commitments shall remain in existence and until the Obligations (other than any unasserted contingent reimbursement or indemnification obligations) have been paid in full in cash, unless the Required Lenders shall otherwise consent in writing, it will not, and will not cause or permit any of its Restricted Subsidiaries: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7.01.</w:t>
      </w:r>
      <w:r>
        <w:rPr>
          <w:sz w:val="20"/>
          <w:szCs w:val="20"/>
          <w:color w:val="auto"/>
        </w:rPr>
        <w:tab/>
      </w:r>
      <w:r>
        <w:rPr>
          <w:rFonts w:ascii="Times New Roman" w:cs="Times New Roman" w:eastAsia="Times New Roman" w:hAnsi="Times New Roman"/>
          <w:sz w:val="17"/>
          <w:szCs w:val="17"/>
          <w:color w:val="auto"/>
        </w:rPr>
        <w:t>Indebtedness.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Incur, create, assume or permit to exist any Indebtedness, except: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Indebtedness of the Borrower and its Restricted Subsidiaries existing on the Closing Date and set forth in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and any Indebtedness evidencing a refinancing, refunding, renewal or extension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any such refinancing Indebtedness is in an aggregate principal amount not greater than the aggregate principal amount of the Indebtedness being renewed or refinanced,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the amount of any premiums required to be paid thereon and reasonable fees and expenses associated therewith, (B) such refinancing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Indebtedness either (i) has a later or equal final maturity and longer or equal Weighted Average Life to Maturity than the Indebtedness being renewed or refinanced (without giving effect to any prepayments of originally scheduled amortization of such Indebtedness being renewed or refinanced), or (ii) has a final maturity that is more than 91 days after the </w:t>
      </w:r>
      <w:r>
        <w:rPr>
          <w:rFonts w:ascii="Times New Roman" w:cs="Times New Roman" w:eastAsia="Times New Roman" w:hAnsi="Times New Roman"/>
          <w:sz w:val="18"/>
          <w:szCs w:val="18"/>
          <w:color w:val="FF0000"/>
          <w:strike w:val="1"/>
        </w:rPr>
        <w:t>Latest</w:t>
      </w:r>
      <w:r>
        <w:rPr>
          <w:rFonts w:ascii="Times New Roman" w:cs="Times New Roman" w:eastAsia="Times New Roman" w:hAnsi="Times New Roman"/>
          <w:sz w:val="18"/>
          <w:szCs w:val="18"/>
          <w:color w:val="auto"/>
        </w:rPr>
        <w:t xml:space="preserve"> Maturity Date hereunder, and (C) the covenants, events of default, Liens, subordination and other provisions (other than interest rates) thereof (including any guarantees thereof) shall be, in the aggregate, no less favorable to the Lenders in any material respect than those contained in the Indebtedness being renewed or refinanced;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ind w:left="1300" w:hanging="656"/>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created hereunder and under the other Loan Documents;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(c)           intercompany Indebtedness of the Borrower and the Restricted Subsidiaries to the extent permitted by </w:t>
      </w:r>
      <w:r>
        <w:rPr>
          <w:rFonts w:ascii="Times New Roman" w:cs="Times New Roman" w:eastAsia="Times New Roman" w:hAnsi="Times New Roman"/>
          <w:sz w:val="18"/>
          <w:szCs w:val="18"/>
          <w:u w:val="single" w:color="auto"/>
          <w:color w:val="auto"/>
        </w:rPr>
        <w:t>Sections 7.03(c)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           Indebtedness under performance bonds or with respect to workers’ compensation claims, property casualty or liability insurance, take-or-pay obligations in supply arrangements, self-insurance obligations, performance, bid and surety bonds and completion guaranties in each case incurred in the ordinary course of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Indebtedness incurred by the Borrower or the Restricted Subsidiaries existing or arising under Swap Contracts in the ordinary course of business and not for speculative purposes;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such Indebtedness relates to interest rates, (i) such Indebtedness relates to payment obligations on Indebtedness otherwise permitted to be incurred by the Loan Documents, and (ii) the notional principal amount of such Indebtedness at the time incurred does not exceed the principal amount of the Indebtedness to which such Indebtedness relates;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(i) Indebtedness incurred by the Borrower or the Restricted Subsidiaries in respect of netting services, overdraft protections and otherwise in connection with deposit accounts, in each case, other than Indebtedness for borrowed money, and (ii) Indebtedness arising from the honoring of a check or draft drawn against insufficient funds;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guarantees and any other contingent obligations of the Borrower and the Restricted Subsidiaries in respect of Indebtedness and other obligations otherwise permitted hereunder (both before or after any liability associated therewith becomes fixed), subject to any limitations set forth in the other subsections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in any defined terms contained herein;</w:t>
      </w:r>
    </w:p>
    <w:p>
      <w:pPr>
        <w:spacing w:after="0" w:line="176"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7"/>
          <w:szCs w:val="17"/>
          <w:color w:val="auto"/>
        </w:rPr>
        <w:t>(h)           Indebtedness incurred by the Borrower or any of its Restricted Subsidiaries arising from agreements providing for indemnification, holdbacks, working capital or other purchase price adjustments, earn-outs, non-compete agreements, deferred compensation or similar obligations in connection with transactions not prohibited hereunder, in an aggregate amount not to exceed at any one time outstanding $100,000;</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Indebtedness with respect to Capital Lease Obligations, Synthetic Lease Obligations and purchase money obligations for assets and property in an aggregate amount not to exceed at any one time outstanding the greater of (x) $20,000,000, or (y) 3.0% of the Total Assets of the Borrower and its Restricted Subsidiaries, taken as a whole;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however</w:t>
      </w:r>
      <w:r>
        <w:rPr>
          <w:rFonts w:ascii="Times New Roman" w:cs="Times New Roman" w:eastAsia="Times New Roman" w:hAnsi="Times New Roman"/>
          <w:sz w:val="18"/>
          <w:szCs w:val="18"/>
          <w:u w:val="single" w:color="auto"/>
          <w:color w:val="0000FF"/>
        </w:rPr>
        <w:t>, that any such Indebtedness incurred pursuant to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Section 7.01(i) shall not be incurred in connection with any “Line 10” improvements;</w:t>
      </w:r>
    </w:p>
    <w:p>
      <w:pPr>
        <w:spacing w:after="0" w:line="39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8" w:name="page139"/>
    <w:bookmarkEnd w:id="138"/>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(j)            Indebtedness owed to any Person providing property, casualty, business interruption or liability insurance to the Borrower or any Restricted Subsidiary, so long as such Indebtedness shall not be in excess of the amount of the unpaid cost of, and shall be incurred only to defer the cost of, such insurance for the annual period in which such Indebtedness is incurred and such Indebtedness shall be outstanding only during such year;</w:t>
      </w:r>
    </w:p>
    <w:p>
      <w:pPr>
        <w:spacing w:after="0" w:line="178"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(k)           Indebtedness consisting of Permitted Unsecured Debt in an aggregate amount not to exceed $20,000,000;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to the extent such Indebtedness incurred pursuant to this </w:t>
      </w:r>
      <w:r>
        <w:rPr>
          <w:rFonts w:ascii="Times New Roman" w:cs="Times New Roman" w:eastAsia="Times New Roman" w:hAnsi="Times New Roman"/>
          <w:sz w:val="18"/>
          <w:szCs w:val="18"/>
          <w:u w:val="single" w:color="auto"/>
          <w:color w:val="auto"/>
        </w:rPr>
        <w:t>Section 7.01(k)</w:t>
      </w:r>
      <w:r>
        <w:rPr>
          <w:rFonts w:ascii="Times New Roman" w:cs="Times New Roman" w:eastAsia="Times New Roman" w:hAnsi="Times New Roman"/>
          <w:sz w:val="18"/>
          <w:szCs w:val="18"/>
          <w:color w:val="auto"/>
        </w:rPr>
        <w:t xml:space="preserve"> is guaranteed by any guarantors that are not Guarantors hereunder such guarantors shall become Guarantors pursuant to the procedures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the foregoing proviso shall not apply only to the extent that the providing of such guarantees could reasonably be expected to result in adverse tax consequences to the Borrower based on the foreign status of such guarantors or assets (and such adverse tax consequences would not apply to any guarantees otherwise provided to support such Permitted Unsecured Debt);</w:t>
      </w:r>
    </w:p>
    <w:p>
      <w:pPr>
        <w:spacing w:after="0" w:line="184"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(l)            Indebtedness of a Person that becomes a Restricted Subsidiary after the date hereof in connection with an Investment permitted hereby or a Permitted Acquisition in an aggregate principal amount not to exceed the greater of (x) $</w:t>
      </w:r>
      <w:r>
        <w:rPr>
          <w:rFonts w:ascii="Times New Roman" w:cs="Times New Roman" w:eastAsia="Times New Roman" w:hAnsi="Times New Roman"/>
          <w:sz w:val="18"/>
          <w:szCs w:val="18"/>
          <w:color w:val="FF0000"/>
          <w:strike w:val="1"/>
        </w:rPr>
        <w:t>20,000,000</w:t>
      </w:r>
      <w:r>
        <w:rPr>
          <w:rFonts w:ascii="Times New Roman" w:cs="Times New Roman" w:eastAsia="Times New Roman" w:hAnsi="Times New Roman"/>
          <w:sz w:val="18"/>
          <w:szCs w:val="18"/>
          <w:u w:val="single" w:color="auto"/>
          <w:color w:val="0000FF"/>
        </w:rPr>
        <w:t>15,000,000</w:t>
      </w:r>
      <w:r>
        <w:rPr>
          <w:rFonts w:ascii="Times New Roman" w:cs="Times New Roman" w:eastAsia="Times New Roman" w:hAnsi="Times New Roman"/>
          <w:sz w:val="18"/>
          <w:szCs w:val="18"/>
          <w:color w:val="auto"/>
        </w:rPr>
        <w:t xml:space="preserve">, or (y) 3.0% of the Total Assets of the Borrower and its Restricted Subsidiaries, taken as a whole, and any refinancing, refunding, renewal or extension thereof to the extent such refinancing, refunding, renewal or extension would have been permitted had such Indebtedness been permitted under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Indebtedness existed at the time such Person became a Restricted Subsidiary and was not created in contemplation thereof; </w:t>
      </w:r>
      <w:r>
        <w:rPr>
          <w:rFonts w:ascii="Times New Roman" w:cs="Times New Roman" w:eastAsia="Times New Roman" w:hAnsi="Times New Roman"/>
          <w:sz w:val="18"/>
          <w:szCs w:val="18"/>
          <w:color w:val="FF0000"/>
          <w:strike w:val="1"/>
        </w:rPr>
        <w:t>and</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(m)</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Indebtedness of the Borrower and its Restricted Subsidiaries under any supply chain financing and/or vendor financing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arrangements (including any obligations to pay the deferred purchase price of goods or services or progress payments in connection with such goods and services) on terms reasonably acceptable to the Administrative Agent, in an aggregate amount not to exceed at any time outstanding $5,000,000; and</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(n)</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color w:val="FF0000"/>
          <w:strike w:val="1"/>
        </w:rPr>
        <w:t>(m)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other Indebtedness of the Borrower and the Restricted Subsidiaries (excluding, in each case, Indebtedness of the type described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Section 7.01(h), (i), (k) and (l)) in an aggregate principal amount not exceeding the greater of (x) $15,000,000, or (y) 3.0% of the Total Assets of the Borrower and its Restricted Subsidiaries, taken as a whole, at any time outstanding.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determining the outstanding principal amount of any particular Indebtedness incurred pursuant to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Indebtedness permitted by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need not be permitted solely by reference to one provision permitting such Indebtedness but may be permitted in part by one such provision and in part by one or more other provisions of this covenant permitting such Indebtedness, unless expressly prohibited by such provision.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7.02.</w:t>
      </w:r>
      <w:r>
        <w:rPr>
          <w:sz w:val="20"/>
          <w:szCs w:val="20"/>
          <w:color w:val="auto"/>
        </w:rPr>
        <w:tab/>
      </w:r>
      <w:r>
        <w:rPr>
          <w:rFonts w:ascii="Times New Roman" w:cs="Times New Roman" w:eastAsia="Times New Roman" w:hAnsi="Times New Roman"/>
          <w:sz w:val="17"/>
          <w:szCs w:val="17"/>
          <w:color w:val="auto"/>
        </w:rPr>
        <w:t>Liens.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Create, incur, assume or permit to exist any Lien on any property or assets (including Equity Interests or other securities of any Person, including the Borrower or any Restricted Subsidiary now owned or hereafter acquired by it or on any income or revenues or rights in respect of any thereof (collectively referred to in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as the “</w:t>
      </w:r>
      <w:r>
        <w:rPr>
          <w:rFonts w:ascii="Times New Roman" w:cs="Times New Roman" w:eastAsia="Times New Roman" w:hAnsi="Times New Roman"/>
          <w:sz w:val="18"/>
          <w:szCs w:val="18"/>
          <w:i w:val="1"/>
          <w:iCs w:val="1"/>
          <w:u w:val="single" w:color="auto"/>
          <w:color w:val="auto"/>
        </w:rPr>
        <w:t>Assets</w:t>
      </w:r>
      <w:r>
        <w:rPr>
          <w:rFonts w:ascii="Times New Roman" w:cs="Times New Roman" w:eastAsia="Times New Roman" w:hAnsi="Times New Roman"/>
          <w:sz w:val="18"/>
          <w:szCs w:val="18"/>
          <w:color w:val="auto"/>
        </w:rPr>
        <w:t>”)), except:</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Liens existing on the Closing Date and set forth on </w:t>
      </w:r>
      <w:r>
        <w:rPr>
          <w:rFonts w:ascii="Times New Roman" w:cs="Times New Roman" w:eastAsia="Times New Roman" w:hAnsi="Times New Roman"/>
          <w:sz w:val="18"/>
          <w:szCs w:val="18"/>
          <w:u w:val="single" w:color="auto"/>
          <w:color w:val="auto"/>
        </w:rPr>
        <w:t>Schedule 7.02</w:t>
      </w:r>
      <w:r>
        <w:rPr>
          <w:rFonts w:ascii="Times New Roman" w:cs="Times New Roman" w:eastAsia="Times New Roman" w:hAnsi="Times New Roman"/>
          <w:sz w:val="18"/>
          <w:szCs w:val="18"/>
          <w:color w:val="auto"/>
        </w:rPr>
        <w:t xml:space="preserve"> (including securing Indebtedness permitted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including refinancings thereof permitted hereunder, so long as any asset securing such refinanced Indebtedness also secured the related existing Indebtedness), or that secures intercompany Indebtedness in which the lender is the Borrower or a Guarantor permitted under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960" w:hanging="656"/>
        <w:spacing w:after="0"/>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or otherwise permitted under the Loan Documents;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Liens for taxes not yet due or which are being contested in compliance with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landlord’s, banks’, carriers’, warehousemen’s, mechanics’, materialmen’s, repairmen’s or other like Liens arising in the ordinary course of business (or imposed by law) and securing obligations that are not due and payable or which are being contested in compliance with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(e)           pledges and deposits made in the ordinary course of business in compliance with workmen’s compensation, unemployment insurance and other social security laws or regulations;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(f)           pledges or deposits of cash and cash equivalents securing deductibles, self-insurance, co-payment, co-insurance, retentions or similar obligations to providers of property, casualty or liability insurance in the ordinary course of business;</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(g)           Liens on insurance policies and the proceeds thereof securing the financing of the premiums with respect thereto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rights which may arise under state insurance guarantee funds relating to any such insurance policy;</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(h)           deposits to secure the performance of bids, trade contracts (other than for Indebtedness), leases (other than capital leases), subleases, statutory obligations, surety and appeal bonds, performance bonds and other obligations of a like nature incurred in the ordinary course of business;</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zoning restrictions, easements, covenants, conditions, environmental and other land use laws, rules and regulations, utility agreements, reservations, encroachments, rights-of-way, restrictions on use of real property, minor imperfections of title, minor survey defects and other similar encumbrances incurred in the ordinary course of business which, in the aggregate, are not substantial in amount and do not materially detract from the value of the Assets subject thereto or interfere with the ordinary conduct of the business of the Borrower or any of its Restricted Subsidiaries;</w:t>
      </w:r>
    </w:p>
    <w:p>
      <w:pPr>
        <w:spacing w:after="0" w:line="181"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(j)            Liens securing Indebtedness permitted under </w:t>
      </w:r>
      <w:r>
        <w:rPr>
          <w:rFonts w:ascii="Times New Roman" w:cs="Times New Roman" w:eastAsia="Times New Roman" w:hAnsi="Times New Roman"/>
          <w:sz w:val="18"/>
          <w:szCs w:val="18"/>
          <w:u w:val="single" w:color="auto"/>
          <w:color w:val="auto"/>
        </w:rPr>
        <w:t>Section 7.01(i)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 such Liens secure Indebtedness incurred to finance the acquisition, construction or improvement of any equipment, machinery, fixed or capital assets or Capital Lease Obligations and Synthetic Lease Obligations, (ii) such Liens are incurred, and the Indebtedness secured thereby is created, within 180 days after such acquisition (or construction or improvement), (iii) the Indebtedness secured thereby does not exceed 100% of the cost of such real property, improvements, equipment or machinery at the time of such acquisition (or completion of construction or improvement), and (iv) such security interests, unless granted as part of a group financing provided in connection with related equipment, do not apply to any property or assets of the Borrower or any Restricted Subsidiary other than the equipment, machinery, fixed or capital assets which are acquired, constructed or improved, or directly related assets, including, without limitation, accessions thereto and proceeds thereof;</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0" w:name="page141"/>
    <w:bookmarkEnd w:id="140"/>
    <w:p>
      <w:pPr>
        <w:ind w:firstLine="648"/>
        <w:spacing w:after="0" w:line="282" w:lineRule="auto"/>
        <w:rPr>
          <w:sz w:val="20"/>
          <w:szCs w:val="20"/>
          <w:color w:val="auto"/>
        </w:rPr>
      </w:pPr>
      <w:r>
        <w:rPr>
          <w:rFonts w:ascii="Times New Roman" w:cs="Times New Roman" w:eastAsia="Times New Roman" w:hAnsi="Times New Roman"/>
          <w:sz w:val="18"/>
          <w:szCs w:val="18"/>
          <w:color w:val="auto"/>
        </w:rPr>
        <w:t>(k)           any interest or title of a lessor or sublessor under any lease of real estate entered into by the Borrower or any Restricted Subsidiary in the ordinary course of business;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(l)           ground leases in respect of real property (and the rights of landlords thereunder) on which facilities owned or leased by the Borrower or its Restricted Subsidiaries are located;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          Liens in favor of customs and revenue authorities arising as a matter of law to secure the payment of customs duties in connection with the importation of goods;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           receipt of progress payments and advances from customers in the ordinary course of business to the extent the same creates a Lien on the related inventory and proceeds thereof;</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           Liens solely on cash earnest money deposits made by the Borrower or any Restricted Subsidiary in connection with a letter of intent or purchase agreement permitted hereunder;</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color w:val="FF0000"/>
          <w:strike w:val="1"/>
        </w:rPr>
        <w:t>[Reserved.]</w:t>
      </w:r>
      <w:r>
        <w:rPr>
          <w:rFonts w:ascii="Times New Roman" w:cs="Times New Roman" w:eastAsia="Times New Roman" w:hAnsi="Times New Roman"/>
          <w:sz w:val="18"/>
          <w:szCs w:val="18"/>
          <w:u w:val="single" w:color="auto"/>
          <w:color w:val="0000FF"/>
        </w:rPr>
        <w:t>precautionary Liens on accounts receivable and related assets sold or purported to be sold (together with the proceeds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thereof) securing any Indebtedness permitted by Section 7.01(m)</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1300" w:hanging="656"/>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documentary letters of credit;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            non-exclusive licenses of Intellectual Property granted to or by the Borrower or the Restricted Subsidiaries in the ordinary course of business not interfering with the business of the Borrower or the Restricted Subsidiaries;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           Liens arising out of consignment or similar arrangements for the sale by the Borrower or the Restricted Subsidiaries of goods through third parties in the ordinary course of business;</w:t>
      </w:r>
    </w:p>
    <w:p>
      <w:pPr>
        <w:spacing w:after="0" w:line="162" w:lineRule="exact"/>
        <w:rPr>
          <w:sz w:val="20"/>
          <w:szCs w:val="20"/>
          <w:color w:val="auto"/>
        </w:rPr>
      </w:pPr>
    </w:p>
    <w:p>
      <w:pPr>
        <w:ind w:left="1300" w:hanging="656"/>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judgments or awards which do not result in a Default;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(u)           Liens securing Indebtedness permitted pursuant to </w:t>
      </w:r>
      <w:r>
        <w:rPr>
          <w:rFonts w:ascii="Times New Roman" w:cs="Times New Roman" w:eastAsia="Times New Roman" w:hAnsi="Times New Roman"/>
          <w:sz w:val="18"/>
          <w:szCs w:val="18"/>
          <w:u w:val="single" w:color="auto"/>
          <w:color w:val="auto"/>
        </w:rPr>
        <w:t>Section 7.01(l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Liens do not extend to assets not subject to such Liens at the time of becoming a Restricted Subsidiary (other than improvements and attachments thereon, accessions thereto and proceeds thereof) and are no more favorable to the lienholders than the </w:t>
      </w:r>
      <w:r>
        <w:rPr>
          <w:rFonts w:ascii="Times New Roman" w:cs="Times New Roman" w:eastAsia="Times New Roman" w:hAnsi="Times New Roman"/>
          <w:sz w:val="18"/>
          <w:szCs w:val="18"/>
          <w:u w:val="single" w:color="auto"/>
          <w:color w:val="0000FF"/>
        </w:rPr>
        <w:t>holder of the</w:t>
      </w:r>
      <w:r>
        <w:rPr>
          <w:rFonts w:ascii="Times New Roman" w:cs="Times New Roman" w:eastAsia="Times New Roman" w:hAnsi="Times New Roman"/>
          <w:sz w:val="18"/>
          <w:szCs w:val="18"/>
          <w:color w:val="auto"/>
        </w:rPr>
        <w:t xml:space="preserve"> then-existing Lien;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(v)           Liens to secure Indebtedness with respect to Swap Contracts permitted under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           Liens arising in connection with transactions relating to the selling or discounting of accounts receivable in the ordinary course of business;</w:t>
      </w:r>
    </w:p>
    <w:p>
      <w:pPr>
        <w:spacing w:after="0" w:line="37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1" w:name="page142"/>
    <w:bookmarkEnd w:id="141"/>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(x)           licenses, leases, or subleases granted to other Persons not materially interfering with the conduct of the business of the Borrower and its Restricted Subsidiaries taken as a whole;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(y)           Liens securing obligations of any Persons in respect of employee deferred compensation and benefit plans in connection with “rabbi trusts” or other similar arrangements;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(z)           Liens upon specific items of inventory or other goods and proceeds thereof of any Person securing such Person’s obligations in respect of bankers’ acceptances issued or created for the account of such Person to facilitate the purchase, shipment or storage of such inventory or other goods; and</w:t>
      </w:r>
    </w:p>
    <w:p>
      <w:pPr>
        <w:spacing w:after="0" w:line="176" w:lineRule="exact"/>
        <w:rPr>
          <w:sz w:val="20"/>
          <w:szCs w:val="20"/>
          <w:color w:val="auto"/>
        </w:rPr>
      </w:pPr>
    </w:p>
    <w:p>
      <w:pPr>
        <w:jc w:val="both"/>
        <w:ind w:left="660" w:firstLine="644"/>
        <w:spacing w:after="0" w:line="261" w:lineRule="auto"/>
        <w:tabs>
          <w:tab w:leader="none" w:pos="16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other Liens of the Borrower and the Restricted Subsidiaries (whether or not of a type listed in any other provision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securing Indebtedness and other obligations in an aggregate principal amount not exceeding the greater of (x) $15,000,000, or</w:t>
      </w:r>
    </w:p>
    <w:p>
      <w:pPr>
        <w:ind w:left="920" w:hanging="264"/>
        <w:spacing w:after="0"/>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the Total Assets of the Borrower and its Restricted Subsidiaries, taken as a whole, at any time outstanding.</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above, the expansion of Liens by virtue of accrual of fluctuations in the exchange rate of currencies will not be deemed to be an incurrence of Liens for purposes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7.03.</w:t>
      </w:r>
      <w:r>
        <w:rPr>
          <w:sz w:val="20"/>
          <w:szCs w:val="20"/>
          <w:color w:val="auto"/>
        </w:rPr>
        <w:tab/>
      </w:r>
      <w:r>
        <w:rPr>
          <w:rFonts w:ascii="Times New Roman" w:cs="Times New Roman" w:eastAsia="Times New Roman" w:hAnsi="Times New Roman"/>
          <w:sz w:val="17"/>
          <w:szCs w:val="17"/>
          <w:color w:val="auto"/>
        </w:rPr>
        <w:t>Investments, Loans and Advances.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Purchase, hold or acquire any Equity Interests, evidences of indebtedness or other securities of, make or permit to exist any loans or advances to, or make or permit to exist any other Investment in, any other Person, except: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Investments by the Borrower and the Restricted Subsidiaries in the Equity Interests of the Borrower or any of the Guarantors;</w:t>
      </w:r>
    </w:p>
    <w:p>
      <w:pPr>
        <w:spacing w:after="0" w:line="225" w:lineRule="exact"/>
        <w:rPr>
          <w:sz w:val="20"/>
          <w:szCs w:val="20"/>
          <w:color w:val="auto"/>
        </w:rPr>
      </w:pPr>
    </w:p>
    <w:p>
      <w:pPr>
        <w:ind w:left="1960" w:hanging="656"/>
        <w:spacing w:after="0"/>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(c)           Investments made (i) among or between the Borrower and the Guarantors, (ii) by the Borrower or any Guarantor to any Restricted Subsidiary that is not a Guarantor in an aggregate amount at one time outstanding not to exceed $</w:t>
      </w:r>
      <w:r>
        <w:rPr>
          <w:rFonts w:ascii="Times New Roman" w:cs="Times New Roman" w:eastAsia="Times New Roman" w:hAnsi="Times New Roman"/>
          <w:sz w:val="18"/>
          <w:szCs w:val="18"/>
          <w:color w:val="FF0000"/>
          <w:strike w:val="1"/>
        </w:rPr>
        <w:t>20,000,000</w:t>
      </w:r>
      <w:r>
        <w:rPr>
          <w:rFonts w:ascii="Times New Roman" w:cs="Times New Roman" w:eastAsia="Times New Roman" w:hAnsi="Times New Roman"/>
          <w:sz w:val="18"/>
          <w:szCs w:val="18"/>
          <w:u w:val="single" w:color="auto"/>
          <w:color w:val="0000FF"/>
        </w:rPr>
        <w:t>15,000,000</w:t>
      </w:r>
      <w:r>
        <w:rPr>
          <w:rFonts w:ascii="Times New Roman" w:cs="Times New Roman" w:eastAsia="Times New Roman" w:hAnsi="Times New Roman"/>
          <w:sz w:val="18"/>
          <w:szCs w:val="18"/>
          <w:color w:val="auto"/>
        </w:rPr>
        <w:t xml:space="preserve">, and (iii) by any Restricted Subsidiary that is not a Guarantor to the Borrower or any of the Restricted Subsidiaries;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if such Investment is an intercompany loan or advance, any such loan or advance to a Loan Party shall be subordinated to such Loan Party’s Obligations hereunder and/or under the Security Agreement and evidenced by the Intercompany Note and, in the case of a loan or advance by a Loan Party, pledged by such Loan Party as Collateral pursuant to the Collateral Documents;</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           (i) Investments consisting of extensions of credit in the nature of accounts receivable or notes receivables arising from the grant of trade credit in the ordinary course of business, and (ii) investments received in satisfaction or partial satisfaction thereof from financially troubled account debtors or the bankruptcy or reorganization of, or settlement of delinquent accounts and disputes with, customers and suppliers, in the ordinary course of business;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deposits, prepayments and other credits to suppliers made in the ordinary course of business;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(f)            each Loan Party may make investments arising out of the receipt by such party of non-cash consideration for any Disposition permitted hereunder;</w:t>
      </w:r>
    </w:p>
    <w:p>
      <w:pPr>
        <w:spacing w:after="0" w:line="162" w:lineRule="exact"/>
        <w:rPr>
          <w:sz w:val="20"/>
          <w:szCs w:val="20"/>
          <w:color w:val="auto"/>
        </w:rPr>
      </w:pPr>
    </w:p>
    <w:p>
      <w:pPr>
        <w:ind w:left="1960" w:hanging="656"/>
        <w:spacing w:after="0"/>
        <w:tabs>
          <w:tab w:leader="none" w:pos="1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and any other contingent obligations permitted under </w:t>
      </w:r>
      <w:r>
        <w:rPr>
          <w:rFonts w:ascii="Times New Roman" w:cs="Times New Roman" w:eastAsia="Times New Roman" w:hAnsi="Times New Roman"/>
          <w:sz w:val="18"/>
          <w:szCs w:val="18"/>
          <w:u w:val="single" w:color="auto"/>
          <w:color w:val="auto"/>
        </w:rPr>
        <w:t>Section 7.01(g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(h)           advances to officers, directors and employees of the Borrower and its Restricted Subsidiaries for travel, entertainment, relocation and analogous ordinary business purposes consistent with past practice, in an aggregate amount not to exceed at any one time outstanding $50,000;</w:t>
      </w:r>
    </w:p>
    <w:p>
      <w:pPr>
        <w:spacing w:after="0" w:line="176" w:lineRule="exact"/>
        <w:rPr>
          <w:sz w:val="20"/>
          <w:szCs w:val="20"/>
          <w:color w:val="auto"/>
        </w:rPr>
      </w:pPr>
    </w:p>
    <w:p>
      <w:pPr>
        <w:ind w:left="1940" w:hanging="636"/>
        <w:spacing w:after="0"/>
        <w:tabs>
          <w:tab w:leader="none" w:pos="1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Acquisitions or other transactions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(j)            Investments of any Restricted Subsidiary on the date it becomes a Restricted Subsidiary, to the extent such Investments were not made in contemplation or in connection with its becoming a Restricted Subsidiary;</w:t>
      </w:r>
    </w:p>
    <w:p>
      <w:pPr>
        <w:spacing w:after="0" w:line="162" w:lineRule="exact"/>
        <w:rPr>
          <w:sz w:val="20"/>
          <w:szCs w:val="20"/>
          <w:color w:val="auto"/>
        </w:rPr>
      </w:pPr>
    </w:p>
    <w:p>
      <w:pPr>
        <w:jc w:val="both"/>
        <w:ind w:left="660" w:right="20" w:firstLine="644"/>
        <w:spacing w:after="0" w:line="266" w:lineRule="auto"/>
        <w:tabs>
          <w:tab w:leader="none" w:pos="1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Investments of the Borrower and its Restricted Subsidiaries in VE Netting, LLC (i) existing on the Closing Date and (ii) made pursuant to commitments to make additional Investments in VE Netting, LLC as set forth in the Joint Venture and Operating Agreement of VE Netting, LLC as in existence on the Closing Date and set forth in </w:t>
      </w:r>
      <w:r>
        <w:rPr>
          <w:rFonts w:ascii="Times New Roman" w:cs="Times New Roman" w:eastAsia="Times New Roman" w:hAnsi="Times New Roman"/>
          <w:sz w:val="18"/>
          <w:szCs w:val="18"/>
          <w:u w:val="single" w:color="auto"/>
          <w:color w:val="auto"/>
        </w:rPr>
        <w:t>Schedule 7.03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(l)            Investments resulting from, or deemed to exist on account of, the purchase and sale among the Borrower and its Restricted Subsidiaries of cellulosic and plastic casing product and cellulosic and plastic extrusion, production and finishing equipment and parts, in each case,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on fair and reasonable terms to each party that is a Loan Party as reasonably determined by each such Loan Party’s board of directors </w:t>
      </w:r>
      <w:r>
        <w:rPr>
          <w:rFonts w:ascii="Times New Roman" w:cs="Times New Roman" w:eastAsia="Times New Roman" w:hAnsi="Times New Roman"/>
          <w:sz w:val="18"/>
          <w:szCs w:val="18"/>
          <w:color w:val="0000FF"/>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(ii) arising in the ordinary course of business</w:t>
      </w:r>
      <w:r>
        <w:rPr>
          <w:rFonts w:ascii="Times New Roman" w:cs="Times New Roman" w:eastAsia="Times New Roman" w:hAnsi="Times New Roman"/>
          <w:sz w:val="18"/>
          <w:szCs w:val="18"/>
          <w:color w:val="000000"/>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6937375</wp:posOffset>
            </wp:positionH>
            <wp:positionV relativeFrom="paragraph">
              <wp:posOffset>-173990</wp:posOffset>
            </wp:positionV>
            <wp:extent cx="1936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93675" cy="8890"/>
                    </a:xfrm>
                    <a:prstGeom prst="rect">
                      <a:avLst/>
                    </a:prstGeom>
                    <a:noFill/>
                  </pic:spPr>
                </pic:pic>
              </a:graphicData>
            </a:graphic>
          </wp:anchor>
        </w:drawing>
        <w:drawing>
          <wp:anchor simplePos="0" relativeHeight="251657728" behindDoc="1" locked="0" layoutInCell="0" allowOverlap="1">
            <wp:simplePos x="0" y="0"/>
            <wp:positionH relativeFrom="column">
              <wp:posOffset>6937375</wp:posOffset>
            </wp:positionH>
            <wp:positionV relativeFrom="paragraph">
              <wp:posOffset>-156845</wp:posOffset>
            </wp:positionV>
            <wp:extent cx="1936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6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(m)          other Investments (excluding, in each case, Investments of the type described in Section 7.03(c)(ii), 7.03(h) and 7.03(k)) in an aggregate amount at one time outstanding not to exceed $</w:t>
      </w:r>
      <w:r>
        <w:rPr>
          <w:rFonts w:ascii="Times New Roman" w:cs="Times New Roman" w:eastAsia="Times New Roman" w:hAnsi="Times New Roman"/>
          <w:sz w:val="18"/>
          <w:szCs w:val="18"/>
          <w:color w:val="FF0000"/>
          <w:strike w:val="1"/>
        </w:rPr>
        <w:t>25,000,000</w:t>
      </w:r>
      <w:r>
        <w:rPr>
          <w:rFonts w:ascii="Times New Roman" w:cs="Times New Roman" w:eastAsia="Times New Roman" w:hAnsi="Times New Roman"/>
          <w:sz w:val="18"/>
          <w:szCs w:val="18"/>
          <w:u w:val="single" w:color="auto"/>
          <w:color w:val="0000FF"/>
        </w:rPr>
        <w:t>15,000,000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during the Covenant Modification Period </w:t>
      </w:r>
      <w:r>
        <w:rPr>
          <w:rFonts w:ascii="Times New Roman" w:cs="Times New Roman" w:eastAsia="Times New Roman" w:hAnsi="Times New Roman"/>
          <w:sz w:val="18"/>
          <w:szCs w:val="18"/>
          <w:color w:val="FF0000"/>
        </w:rPr>
        <w:t>or any Specified Cure Period</w:t>
      </w:r>
      <w:r>
        <w:rPr>
          <w:rFonts w:ascii="Times New Roman" w:cs="Times New Roman" w:eastAsia="Times New Roman" w:hAnsi="Times New Roman"/>
          <w:sz w:val="18"/>
          <w:szCs w:val="18"/>
          <w:color w:val="auto"/>
        </w:rPr>
        <w:t xml:space="preserve">, (x) no Investment may be made by the Borrower or any Restricted Subsidiary in reliance on </w:t>
      </w:r>
      <w:r>
        <w:rPr>
          <w:rFonts w:ascii="Times New Roman" w:cs="Times New Roman" w:eastAsia="Times New Roman" w:hAnsi="Times New Roman"/>
          <w:sz w:val="18"/>
          <w:szCs w:val="18"/>
          <w:u w:val="single" w:color="auto"/>
          <w:color w:val="auto"/>
        </w:rPr>
        <w:t>Section 7.03(c)(ii)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7.03(m)</w:t>
      </w:r>
      <w:r>
        <w:rPr>
          <w:rFonts w:ascii="Times New Roman" w:cs="Times New Roman" w:eastAsia="Times New Roman" w:hAnsi="Times New Roman"/>
          <w:sz w:val="18"/>
          <w:szCs w:val="18"/>
          <w:color w:val="auto"/>
        </w:rPr>
        <w:t xml:space="preserve"> and (y) no Permitted Acquisition (other than the Enzon Merger) shall be permitted to be consummated pursuant to </w:t>
      </w:r>
      <w:r>
        <w:rPr>
          <w:rFonts w:ascii="Times New Roman" w:cs="Times New Roman" w:eastAsia="Times New Roman" w:hAnsi="Times New Roman"/>
          <w:sz w:val="18"/>
          <w:szCs w:val="18"/>
          <w:u w:val="single" w:color="auto"/>
          <w:color w:val="auto"/>
        </w:rPr>
        <w:t>Section 7.03(i)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-364490</wp:posOffset>
            </wp:positionV>
            <wp:extent cx="1405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7.04.</w:t>
      </w:r>
      <w:r>
        <w:rPr>
          <w:sz w:val="20"/>
          <w:szCs w:val="20"/>
          <w:color w:val="auto"/>
        </w:rPr>
        <w:tab/>
      </w:r>
      <w:r>
        <w:rPr>
          <w:rFonts w:ascii="Times New Roman" w:cs="Times New Roman" w:eastAsia="Times New Roman" w:hAnsi="Times New Roman"/>
          <w:sz w:val="17"/>
          <w:szCs w:val="17"/>
          <w:color w:val="auto"/>
        </w:rPr>
        <w:t>Mergers, Consolidations and Acquisitions; Sales of Assets.</w:t>
      </w:r>
    </w:p>
    <w:p>
      <w:pPr>
        <w:spacing w:after="0" w:line="229"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Merge into or consolidate with any other Person, sell, transfer, lease or otherwise dispose of all or substantially all of its assets or liquidate or dissolve, except that:</w:t>
      </w:r>
    </w:p>
    <w:p>
      <w:pPr>
        <w:spacing w:after="0" w:line="160"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any Restricted Subsidiary may merge with (A) the Borrower;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the Borrower shall be the continuing or surviving Person, or (B) any one or more other Restricted Subsidiaries;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when any Loan Party is merging with another Restricted Subsidiary </w:t>
      </w:r>
      <w:r>
        <w:rPr>
          <w:rFonts w:ascii="Times New Roman" w:cs="Times New Roman" w:eastAsia="Times New Roman" w:hAnsi="Times New Roman"/>
          <w:sz w:val="18"/>
          <w:szCs w:val="18"/>
          <w:color w:val="FF0000"/>
          <w:strike w:val="1"/>
        </w:rPr>
        <w:t>(1)</w:t>
      </w:r>
      <w:r>
        <w:rPr>
          <w:rFonts w:ascii="Times New Roman" w:cs="Times New Roman" w:eastAsia="Times New Roman" w:hAnsi="Times New Roman"/>
          <w:sz w:val="18"/>
          <w:szCs w:val="18"/>
          <w:color w:val="auto"/>
        </w:rPr>
        <w:t xml:space="preserve"> the continuing or surviving Person shall be a Loan Party (including a new Loan Party) </w:t>
      </w:r>
      <w:r>
        <w:rPr>
          <w:rFonts w:ascii="Times New Roman" w:cs="Times New Roman" w:eastAsia="Times New Roman" w:hAnsi="Times New Roman"/>
          <w:sz w:val="18"/>
          <w:szCs w:val="18"/>
          <w:color w:val="FF0000"/>
          <w:strike w:val="1"/>
        </w:rPr>
        <w:t>or (2) if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continuing or surviving Person is not a Loan Party, the acquisition of such Loan Party by such surviving Restricted Subsidiary is otherwise permitted under </w:t>
      </w:r>
      <w:r>
        <w:rPr>
          <w:rFonts w:ascii="Times New Roman" w:cs="Times New Roman" w:eastAsia="Times New Roman" w:hAnsi="Times New Roman"/>
          <w:sz w:val="18"/>
          <w:szCs w:val="18"/>
          <w:u w:val="single" w:color="auto"/>
          <w:color w:val="FF0000"/>
          <w:strike w:val="1"/>
        </w:rPr>
        <w:t>Section 7.03</w:t>
      </w:r>
      <w:r>
        <w:rPr>
          <w:rFonts w:ascii="Times New Roman" w:cs="Times New Roman" w:eastAsia="Times New Roman" w:hAnsi="Times New Roman"/>
          <w:sz w:val="18"/>
          <w:szCs w:val="18"/>
          <w:color w:val="000000"/>
          <w:strike w:val="1"/>
        </w:rPr>
        <w:t>;</w:t>
      </w:r>
    </w:p>
    <w:p>
      <w:pPr>
        <w:spacing w:after="0" w:line="18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           any Restricted Subsidiary that is not a Loan Party may merge, amalgamate or consolidate with or into any other Restricted Subsidiary that is not a Loan Party and any Restricted Subsidiary may liquidate or dissolve or change its legal form if the Borrower determines in good faith that such action is in the best interests of the Borrower and its Restricted Subsidiaries and would not reasonably be expected to result in a Material Adverse Effect;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(iii)          any Restricted Subsidiary may sell, transfer, lease or otherwise dispose of all or substantially all of its assets (upon voluntary liquidation or otherwise) to </w:t>
      </w:r>
      <w:r>
        <w:rPr>
          <w:rFonts w:ascii="Times New Roman" w:cs="Times New Roman" w:eastAsia="Times New Roman" w:hAnsi="Times New Roman"/>
          <w:sz w:val="18"/>
          <w:szCs w:val="18"/>
          <w:color w:val="FF0000"/>
          <w:strike w:val="1"/>
        </w:rPr>
        <w:t>another Restricted Subsidiary</w:t>
      </w:r>
      <w:r>
        <w:rPr>
          <w:rFonts w:ascii="Times New Roman" w:cs="Times New Roman" w:eastAsia="Times New Roman" w:hAnsi="Times New Roman"/>
          <w:sz w:val="18"/>
          <w:szCs w:val="18"/>
          <w:u w:val="single" w:color="auto"/>
          <w:color w:val="0000FF"/>
        </w:rPr>
        <w:t>a Loan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if the transferor in such a transaction is a U.S. Loan Party, then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the transferee must be a U.S. Loan Party</w:t>
      </w:r>
      <w:r>
        <w:rPr>
          <w:rFonts w:ascii="Times New Roman" w:cs="Times New Roman" w:eastAsia="Times New Roman" w:hAnsi="Times New Roman"/>
          <w:sz w:val="18"/>
          <w:szCs w:val="18"/>
          <w:color w:val="FF0000"/>
          <w:strike w:val="1"/>
        </w:rPr>
        <w:t>, (B) to the extent constituting an Investment,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Investment must be a permitted Investment in a Restricted Subsidiary that is not a Loan Party in accordance with </w:t>
      </w:r>
      <w:r>
        <w:rPr>
          <w:rFonts w:ascii="Times New Roman" w:cs="Times New Roman" w:eastAsia="Times New Roman" w:hAnsi="Times New Roman"/>
          <w:sz w:val="18"/>
          <w:szCs w:val="18"/>
          <w:u w:val="single" w:color="auto"/>
          <w:color w:val="FF0000"/>
          <w:strike w:val="1"/>
        </w:rPr>
        <w:t>Section 7.03</w:t>
      </w:r>
      <w:r>
        <w:rPr>
          <w:rFonts w:ascii="Times New Roman" w:cs="Times New Roman" w:eastAsia="Times New Roman" w:hAnsi="Times New Roman"/>
          <w:sz w:val="18"/>
          <w:szCs w:val="18"/>
          <w:color w:val="FF0000"/>
          <w:strike w:val="1"/>
        </w:rPr>
        <w:t xml:space="preserve">, or (C) to the extent constituting a sale, transfer, lease or other disposition to a Restricted Subsidiary that is not a Loan Party, such sale, transfer, lease or other disposition is for fair market value and any promissory note or other non-cash consideration received in respect thereof is a permitted Investment in a Subsidiary that is not a Loan Party in accordance with </w:t>
      </w:r>
      <w:r>
        <w:rPr>
          <w:rFonts w:ascii="Times New Roman" w:cs="Times New Roman" w:eastAsia="Times New Roman" w:hAnsi="Times New Roman"/>
          <w:sz w:val="18"/>
          <w:szCs w:val="18"/>
          <w:u w:val="single" w:color="auto"/>
          <w:color w:val="FF0000"/>
          <w:strike w:val="1"/>
        </w:rPr>
        <w:t>Section 7.03</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strike w:val="1"/>
        </w:rPr>
        <w:t>;</w:t>
      </w:r>
    </w:p>
    <w:p>
      <w:pPr>
        <w:spacing w:after="0" w:line="189"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(iv)           so long as no Default exists or would result therefrom, the Borrower may merge, amalgamate or consolidate with any other Person;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Borrower shall be the continuing or surviving Person;</w:t>
      </w:r>
    </w:p>
    <w:p>
      <w:pPr>
        <w:spacing w:after="0" w:line="162"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(v)           any Restricted Subsidiary may merge, consolidate or amalgamate with any other Person in order to effect </w:t>
      </w:r>
      <w:r>
        <w:rPr>
          <w:rFonts w:ascii="Times New Roman" w:cs="Times New Roman" w:eastAsia="Times New Roman" w:hAnsi="Times New Roman"/>
          <w:sz w:val="18"/>
          <w:szCs w:val="18"/>
          <w:color w:val="FF0000"/>
          <w:strike w:val="1"/>
        </w:rPr>
        <w:t>an Investment</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Permitted Acquisition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permitted pursuant to Section 7.03</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provided, however</w:t>
      </w:r>
      <w:r>
        <w:rPr>
          <w:rFonts w:ascii="Times New Roman" w:cs="Times New Roman" w:eastAsia="Times New Roman" w:hAnsi="Times New Roman"/>
          <w:sz w:val="18"/>
          <w:szCs w:val="18"/>
          <w:color w:val="000000"/>
        </w:rPr>
        <w:t>, that if the continuing or surviving Person shall be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Restricted Subsidiary, then such Person, together with any of its Subsidiaries that will be Restricted Subsidiaries, shall have complied with the requirements of Section 6.12 and if the other party to such transaction is not a Loan Party, no Default exists after giving effect to such transaction; and</w:t>
      </w:r>
    </w:p>
    <w:p>
      <w:pPr>
        <w:spacing w:after="0" w:line="183"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           a Restricted Subsidiary may effect a </w:t>
      </w:r>
      <w:r>
        <w:rPr>
          <w:rFonts w:ascii="Times New Roman" w:cs="Times New Roman" w:eastAsia="Times New Roman" w:hAnsi="Times New Roman"/>
          <w:sz w:val="18"/>
          <w:szCs w:val="18"/>
          <w:color w:val="FF0000"/>
          <w:strike w:val="1"/>
        </w:rPr>
        <w:t>merger, dissolution, liquidation consolidation or amalgamation or sale, transfer,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or other disposition of all or substantially all of its assets to effect a transaction permitted pursuant to </w:t>
      </w:r>
      <w:r>
        <w:rPr>
          <w:rFonts w:ascii="Times New Roman" w:cs="Times New Roman" w:eastAsia="Times New Roman" w:hAnsi="Times New Roman"/>
          <w:sz w:val="18"/>
          <w:szCs w:val="18"/>
          <w:u w:val="single" w:color="auto"/>
          <w:color w:val="FF0000"/>
          <w:strike w:val="1"/>
        </w:rPr>
        <w:t>Section 7.04(b)</w:t>
      </w:r>
      <w:r>
        <w:rPr>
          <w:rFonts w:ascii="Times New Roman" w:cs="Times New Roman" w:eastAsia="Times New Roman" w:hAnsi="Times New Roman"/>
          <w:sz w:val="18"/>
          <w:szCs w:val="18"/>
          <w:color w:val="FF0000"/>
          <w:strike w:val="1"/>
        </w:rPr>
        <w:t xml:space="preserve"> and, to the extent applicable, </w:t>
      </w:r>
      <w:r>
        <w:rPr>
          <w:rFonts w:ascii="Times New Roman" w:cs="Times New Roman" w:eastAsia="Times New Roman" w:hAnsi="Times New Roman"/>
          <w:sz w:val="18"/>
          <w:szCs w:val="18"/>
          <w:u w:val="single" w:color="auto"/>
          <w:color w:val="FF0000"/>
          <w:strike w:val="1"/>
        </w:rPr>
        <w:t>Section 2.05</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FF0000"/>
          <w:strike w:val="1"/>
        </w:rPr>
        <w:t>however</w:t>
      </w:r>
      <w:r>
        <w:rPr>
          <w:rFonts w:ascii="Times New Roman" w:cs="Times New Roman" w:eastAsia="Times New Roman" w:hAnsi="Times New Roman"/>
          <w:sz w:val="18"/>
          <w:szCs w:val="18"/>
          <w:color w:val="FF0000"/>
          <w:strike w:val="1"/>
        </w:rPr>
        <w:t>, that if the other party to such transaction is not a Loan Party, no Default exists after giving effect to such transaction</w:t>
      </w:r>
      <w:r>
        <w:rPr>
          <w:rFonts w:ascii="Times New Roman" w:cs="Times New Roman" w:eastAsia="Times New Roman" w:hAnsi="Times New Roman"/>
          <w:sz w:val="18"/>
          <w:szCs w:val="18"/>
          <w:u w:val="single" w:color="auto"/>
          <w:color w:val="0000FF"/>
          <w:strike w:val="1"/>
        </w:rPr>
        <w:t>Disposition permitted under Section 7.04(b)</w:t>
      </w:r>
      <w:r>
        <w:rPr>
          <w:rFonts w:ascii="Times New Roman" w:cs="Times New Roman" w:eastAsia="Times New Roman" w:hAnsi="Times New Roman"/>
          <w:sz w:val="18"/>
          <w:szCs w:val="18"/>
          <w:color w:val="000000"/>
          <w:strike w:val="1"/>
        </w:rPr>
        <w: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Make any Disposition unless (i) such Disposition is for consideration at least 75% of which is cash (for which purpose, “cash” shall include (A) up to an aggregate during the term of this Agreement of $10,000,000 of Indebtedness or other liabilities that are assumed by the purchaser or retained by the obligor thereof (and for which the Borrower and its Restricted Subsidiaries shall thereafter have no liability with respect thereto) or that are otherwise cancelled, forgiven or terminated in connection with the transaction with such purchaser, (B) Indebtedness (other than the Secured Obligations), to the extent that such Indebtedness is then secured by a Lien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that is then either senior to or pari passu with the Lien then securing the Secured Obligations on the subject property, that are assumed by the purchaser or retained by the obligor thereof (and for which the Borrower and its Restricted Subsidiaries shall thereafter have no liability with respect thereto) or that is otherwise cancelled, forgiven or terminated in connection with the transaction with such purchaser; and (C) any securities received by the Borrower or such other Restricted Subsidiary from such transferee that are converted by the Borrower or such other Restricted Subsidiary into cash or Cash Equivalents (to the extent of the cash or Cash Equivalents received) within 180 days following the closing of the applicable Disposition); and, (ii) no Default shall have occurred and be continuing or would result from such Disposition, (iii) such consideration is at least equal to the fair market value of the assets being sold, transferred, leased, swapped or disposed of and (iv) the aggregate fair market value of all assets Disposed of in reliance upon this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color w:val="auto"/>
        </w:rPr>
        <w:t xml:space="preserve"> shall not exceed (x) $10,000,000 individually (or together with any series of related Dispositions) and (y) $20,000,000 in the aggregate during the term of this Agreement;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the foregoing restrictions of clauses (i), (ii), (iii) and (iv) of this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color w:val="auto"/>
        </w:rPr>
        <w:t xml:space="preserve"> shall not apply to: (w) Permitted Transfers, (x) transfers of condemned property as a result of the exercise of “eminent domain” or other similar policies to the respective Governmental Authority that has condemned such property, transactions in lieu of eminent domain, and other dedications of property that are required to be made to Governmental Authorities, (y) mergers effected pursuant to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 or (z) dispositions of property to the extent that (i) such property is exchanged for credit against the purchase price of similar replacement property, or (ii) the proceeds of such disposition are reasonably promptly applied to the purchase price of such replacement property</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 xml:space="preserve">provided further </w:t>
      </w:r>
      <w:r>
        <w:rPr>
          <w:rFonts w:ascii="Times New Roman" w:cs="Times New Roman" w:eastAsia="Times New Roman" w:hAnsi="Times New Roman"/>
          <w:sz w:val="18"/>
          <w:szCs w:val="18"/>
          <w:u w:val="single" w:color="auto"/>
          <w:color w:val="0000FF"/>
        </w:rPr>
        <w:t>that, notwithstanding anything to the contrary in this Section 7.04(b), any such Disposition of Collateral (other than Permitted</w:t>
      </w:r>
      <w:r>
        <w:rPr>
          <w:rFonts w:ascii="Times New Roman" w:cs="Times New Roman" w:eastAsia="Times New Roman" w:hAnsi="Times New Roman"/>
          <w:sz w:val="18"/>
          <w:szCs w:val="18"/>
          <w:i w:val="1"/>
          <w:iCs w:val="1"/>
          <w:u w:val="single" w:color="auto"/>
          <w:color w:val="0000FF"/>
        </w:rPr>
        <w:t xml:space="preserve"> </w:t>
      </w:r>
      <w:r>
        <w:rPr>
          <w:rFonts w:ascii="Times New Roman" w:cs="Times New Roman" w:eastAsia="Times New Roman" w:hAnsi="Times New Roman"/>
          <w:sz w:val="18"/>
          <w:szCs w:val="18"/>
          <w:u w:val="single" w:color="auto"/>
          <w:color w:val="0000FF"/>
        </w:rPr>
        <w:t>Transfers) with a fair market value in excess of $5,000,000 shall require consent of all Lenders, unless such Disposition occurs in the ordinary course of business.</w:t>
      </w:r>
    </w:p>
    <w:p>
      <w:pPr>
        <w:spacing w:after="0" w:line="200" w:lineRule="exact"/>
        <w:rPr>
          <w:sz w:val="20"/>
          <w:szCs w:val="20"/>
          <w:color w:val="auto"/>
        </w:rPr>
      </w:pPr>
    </w:p>
    <w:p>
      <w:pPr>
        <w:spacing w:after="0" w:line="22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4" w:name="page145"/>
    <w:bookmarkEnd w:id="144"/>
    <w:p>
      <w:pPr>
        <w:ind w:left="4"/>
        <w:spacing w:after="0"/>
        <w:tabs>
          <w:tab w:leader="none" w:pos="624" w:val="left"/>
        </w:tabs>
        <w:rPr>
          <w:sz w:val="20"/>
          <w:szCs w:val="20"/>
          <w:color w:val="auto"/>
        </w:rPr>
      </w:pPr>
      <w:r>
        <w:rPr>
          <w:rFonts w:ascii="Times New Roman" w:cs="Times New Roman" w:eastAsia="Times New Roman" w:hAnsi="Times New Roman"/>
          <w:sz w:val="18"/>
          <w:szCs w:val="18"/>
          <w:b w:val="1"/>
          <w:bCs w:val="1"/>
          <w:color w:val="auto"/>
        </w:rPr>
        <w:t>7.05.</w:t>
      </w:r>
      <w:r>
        <w:rPr>
          <w:sz w:val="20"/>
          <w:szCs w:val="20"/>
          <w:color w:val="auto"/>
        </w:rPr>
        <w:tab/>
      </w:r>
      <w:r>
        <w:rPr>
          <w:rFonts w:ascii="Times New Roman" w:cs="Times New Roman" w:eastAsia="Times New Roman" w:hAnsi="Times New Roman"/>
          <w:sz w:val="18"/>
          <w:szCs w:val="18"/>
          <w:color w:val="auto"/>
        </w:rPr>
        <w:t>Restricted Payments; Restrictive Agreements.</w:t>
      </w:r>
    </w:p>
    <w:p>
      <w:pPr>
        <w:spacing w:after="0" w:line="229"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Declare or make, or agree to declare or make, directly or indirectly, any Restricted Payment, or incur any obligation (contingent or otherwise) to do so;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any Restricted Subsidiary may declare and pay dividends or make other distributions ratably to its equity holders, (ii) the Borrower and the Restricted Subsidiaries may make Restricted Payments in the form of distributions payable solely in the common stock or other common Equity Interests of such Person, (iii) the Borrower may make Permitted Tax Distributions, (iv) </w:t>
      </w:r>
      <w:r>
        <w:rPr>
          <w:rFonts w:ascii="Times New Roman" w:cs="Times New Roman" w:eastAsia="Times New Roman" w:hAnsi="Times New Roman"/>
          <w:sz w:val="18"/>
          <w:szCs w:val="18"/>
          <w:color w:val="FF0000"/>
          <w:strike w:val="1"/>
        </w:rPr>
        <w:t>the Borrower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its Restricted Subsidiaries may make Restricted Payments in an aggregate amount not to exceed $25,000,000 in any fiscal year, so long as</w:t>
      </w:r>
    </w:p>
    <w:p>
      <w:pPr>
        <w:spacing w:after="0" w:line="3" w:lineRule="exact"/>
        <w:rPr>
          <w:sz w:val="20"/>
          <w:szCs w:val="20"/>
          <w:color w:val="auto"/>
        </w:rPr>
      </w:pPr>
    </w:p>
    <w:p>
      <w:pPr>
        <w:jc w:val="both"/>
        <w:ind w:left="4" w:hanging="4"/>
        <w:spacing w:after="0" w:line="250" w:lineRule="auto"/>
        <w:tabs>
          <w:tab w:leader="none" w:pos="259" w:val="left"/>
        </w:tabs>
        <w:numPr>
          <w:ilvl w:val="0"/>
          <w:numId w:val="57"/>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 xml:space="preserve">immediately after giving effect to such Restricted Payment on a Pro Forma Basis, the Consolidated Leverage Ratio shall be less than 3.00 to 1.00 and (b) at the time of, and after giving effect to, such Restricted Payment no Default shall have occurred or be continuing, (v) the Borrower or any Restricted Subsidiary may make any payment (whether in cash, securities or other property), including any sinking fund or similar deposit, on account of the purchase, redemption, retirement, acquisition, cancellation or termination of any Equity Interests in any Restricted Subsidiary, to the extent permitted to be made as an Investment under </w:t>
      </w:r>
      <w:r>
        <w:rPr>
          <w:rFonts w:ascii="Times New Roman" w:cs="Times New Roman" w:eastAsia="Times New Roman" w:hAnsi="Times New Roman"/>
          <w:sz w:val="18"/>
          <w:szCs w:val="18"/>
          <w:u w:val="single" w:color="auto"/>
          <w:color w:val="FF0000"/>
          <w:strike w:val="1"/>
        </w:rPr>
        <w:t>Section 7.03</w:t>
      </w:r>
      <w:r>
        <w:rPr>
          <w:rFonts w:ascii="Times New Roman" w:cs="Times New Roman" w:eastAsia="Times New Roman" w:hAnsi="Times New Roman"/>
          <w:sz w:val="18"/>
          <w:szCs w:val="18"/>
          <w:color w:val="FF0000"/>
          <w:strike w:val="1"/>
        </w:rPr>
        <w:t xml:space="preserve">, (vi) any Restricted Subsidiary may issue directors’ qualifying shares, and the Borrower and any Restricted Subsidiary may, if no Default has occurred and is continuing or would exist after giving effect thereto, purchase or otherwise acquire shares of Equity Interests of the Borrower and any Restricted Subsidiary from employees, former employees, directors or former directors of the Borrower and such Restricted Subsidiary (or permitted transferees of such employees, former employees, directors or former directors), pursuant to the terms of the agreements (including employment agreements) or plans (or amendments thereto) approved by the Board of Directors of the Borrower under which such individuals purchase or sell or are granted the option to purchase or sell, shares of such Equity Interests; </w:t>
      </w:r>
      <w:r>
        <w:rPr>
          <w:rFonts w:ascii="Times New Roman" w:cs="Times New Roman" w:eastAsia="Times New Roman" w:hAnsi="Times New Roman"/>
          <w:sz w:val="18"/>
          <w:szCs w:val="18"/>
          <w:i w:val="1"/>
          <w:iCs w:val="1"/>
          <w:color w:val="FF0000"/>
          <w:strike w:val="1"/>
        </w:rPr>
        <w:t>provided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color w:val="FF0000"/>
          <w:strike w:val="1"/>
        </w:rPr>
        <w:t>however</w:t>
      </w:r>
      <w:r>
        <w:rPr>
          <w:rFonts w:ascii="Times New Roman" w:cs="Times New Roman" w:eastAsia="Times New Roman" w:hAnsi="Times New Roman"/>
          <w:sz w:val="18"/>
          <w:szCs w:val="18"/>
          <w:color w:val="FF0000"/>
          <w:strike w:val="1"/>
        </w:rPr>
        <w:t>, that the aggregate amount of such repurchases and other acquisitions in any calendar year shall not exceed the sum of (x) $2,000,000 and (y) the aggregate amount of Restricted Payments permitted (but not made) pursuant to this clause (vi) in the immediately preceding calendar year (without giving effect to this clause (y)),</w:t>
      </w:r>
      <w:r>
        <w:rPr>
          <w:rFonts w:ascii="Times New Roman" w:cs="Times New Roman" w:eastAsia="Times New Roman" w:hAnsi="Times New Roman"/>
          <w:sz w:val="18"/>
          <w:szCs w:val="18"/>
          <w:u w:val="single" w:color="auto"/>
          <w:color w:val="0000FF"/>
          <w:strike w:val="1"/>
        </w:rPr>
        <w:t>[reserved], (v) [reserved], (vi) [reserved],</w:t>
      </w:r>
      <w:r>
        <w:rPr>
          <w:rFonts w:ascii="Times New Roman" w:cs="Times New Roman" w:eastAsia="Times New Roman" w:hAnsi="Times New Roman"/>
          <w:sz w:val="18"/>
          <w:szCs w:val="18"/>
          <w:color w:val="FF0000"/>
          <w:strike w:val="1"/>
        </w:rPr>
        <w:t xml:space="preserve"> (vii) repurchases of Equity Interests deemed to occur upon exercise of stock options, warrants or other similar rights if such Equity Interests represents a portion of the exercise price of such options, warrants or other similar rights, (viii) if no Event of Default shall have occurred and be continuing or would exist after </w:t>
      </w:r>
      <w:r>
        <w:rPr>
          <w:rFonts w:ascii="Times New Roman" w:cs="Times New Roman" w:eastAsia="Times New Roman" w:hAnsi="Times New Roman"/>
          <w:sz w:val="18"/>
          <w:szCs w:val="18"/>
          <w:color w:val="000000"/>
          <w:strike w:val="1"/>
        </w:rPr>
        <w:t>giving effect thereto, the acquisition of any shares of Qualified Equity Interests of the Borrower either (i) solely in exchange for other shares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of Qualified Equity Interests of the Borrower, or (ii) through the application of net proceeds of a sale for cash (other than to a Subsidiary of the Borrower) of shares of Qualified Equity Interests of the Borrower within 60 days after such sale, (ix) </w:t>
      </w:r>
      <w:r>
        <w:rPr>
          <w:rFonts w:ascii="Times New Roman" w:cs="Times New Roman" w:eastAsia="Times New Roman" w:hAnsi="Times New Roman"/>
          <w:sz w:val="18"/>
          <w:szCs w:val="18"/>
          <w:color w:val="FF0000"/>
          <w:strike w:val="1"/>
        </w:rPr>
        <w:t>payments or distributions to dissenting</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stockholders of Equity Interests of the Borrower pursuant to applicable law, pursuant to or in connection with a consolidation, merger or transfer of assets that complies with the provisions of this Agreement applicable to mergers, consolidations and transfers of all or substantially all of the property and assets of the Borrower or any of its Restricted Subsidiaries</w:t>
      </w:r>
      <w:r>
        <w:rPr>
          <w:rFonts w:ascii="Times New Roman" w:cs="Times New Roman" w:eastAsia="Times New Roman" w:hAnsi="Times New Roman"/>
          <w:sz w:val="18"/>
          <w:szCs w:val="18"/>
          <w:u w:val="single" w:color="auto"/>
          <w:color w:val="0000FF"/>
          <w:strike w:val="1"/>
        </w:rPr>
        <w:t>[reserved]</w:t>
      </w:r>
      <w:r>
        <w:rPr>
          <w:rFonts w:ascii="Times New Roman" w:cs="Times New Roman" w:eastAsia="Times New Roman" w:hAnsi="Times New Roman"/>
          <w:sz w:val="18"/>
          <w:szCs w:val="18"/>
          <w:color w:val="000000"/>
          <w:strike w:val="1"/>
        </w:rPr>
        <w:t>, and (x) following the consummation of the Surviving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Company Conversion, the Borrower may make distributions to its equity holders in the amounts equal to the foreign, federal, state and local tax payments payable by such equity holders and attributable to taxable income and earnings of the Borrower and its Subsidiaries.</w:t>
      </w:r>
    </w:p>
    <w:p>
      <w:pPr>
        <w:spacing w:after="0" w:line="200" w:lineRule="exact"/>
        <w:rPr>
          <w:sz w:val="20"/>
          <w:szCs w:val="20"/>
          <w:color w:val="auto"/>
        </w:rPr>
      </w:pPr>
    </w:p>
    <w:p>
      <w:pPr>
        <w:spacing w:after="0" w:line="223"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45" w:name="page146"/>
    <w:bookmarkEnd w:id="145"/>
    <w:p>
      <w:pPr>
        <w:ind w:left="644"/>
        <w:spacing w:after="0"/>
        <w:rPr>
          <w:sz w:val="20"/>
          <w:szCs w:val="20"/>
          <w:color w:val="auto"/>
        </w:rPr>
      </w:pPr>
      <w:r>
        <w:rPr>
          <w:rFonts w:ascii="Times New Roman" w:cs="Times New Roman" w:eastAsia="Times New Roman" w:hAnsi="Times New Roman"/>
          <w:sz w:val="18"/>
          <w:szCs w:val="18"/>
          <w:color w:val="auto"/>
        </w:rPr>
        <w:t>(b)           Enter into, incur or permit to exist any agreement or other arrangement that prohibits, restricts or imposes any condition upon</w:t>
      </w:r>
    </w:p>
    <w:p>
      <w:pPr>
        <w:spacing w:after="0" w:line="27" w:lineRule="exact"/>
        <w:rPr>
          <w:sz w:val="20"/>
          <w:szCs w:val="20"/>
          <w:color w:val="auto"/>
        </w:rPr>
      </w:pPr>
    </w:p>
    <w:p>
      <w:pPr>
        <w:jc w:val="both"/>
        <w:ind w:left="4" w:hanging="4"/>
        <w:spacing w:after="0" w:line="265" w:lineRule="auto"/>
        <w:tabs>
          <w:tab w:leader="none" w:pos="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ability of the Borrower or any Restricted Subsidiary to create, incur or permit to exist any Lien upon any of its property or assets as security for the Secured Obligations, or (ii) the ability of any Restricted Subsidiary to pay dividends or other distributions with respect to any of its Equity Interests or to make or repay loans or advances to the Borrower or any other Loan Party or to Guarantee Indebtedness of the Borrower or any other Loan Party;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xml:space="preserve">, that the foregoing shall not apply to (A) restrictions and conditions imposed by law or by any Loan Document or an Indebtedness permitted under </w:t>
      </w:r>
      <w:r>
        <w:rPr>
          <w:rFonts w:ascii="Times New Roman" w:cs="Times New Roman" w:eastAsia="Times New Roman" w:hAnsi="Times New Roman"/>
          <w:sz w:val="17"/>
          <w:szCs w:val="17"/>
          <w:u w:val="single" w:color="auto"/>
          <w:color w:val="auto"/>
        </w:rPr>
        <w:t>Section 7.01(a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color w:val="FF0000"/>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FF0000"/>
          <w:strike w:val="1"/>
        </w:rPr>
        <w:t>) or (n</w:t>
      </w:r>
      <w:r>
        <w:rPr>
          <w:rFonts w:ascii="Times New Roman" w:cs="Times New Roman" w:eastAsia="Times New Roman" w:hAnsi="Times New Roman"/>
          <w:sz w:val="17"/>
          <w:szCs w:val="17"/>
          <w:color w:val="auto"/>
        </w:rPr>
        <w:t xml:space="preserve">), (B) customary restrictions and conditions contained in agreements relating to the sale of a subsidiary pending such sale;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xml:space="preserve">, that such restrictions and conditions apply only to the subsidiary that is to be sold and such sale is permitted (or expected to be permitted) hereunder, (C) to restrictions or conditions imposed by any agreement relating to secured Indebtedness or effecting a refinancing of such Indebtedness permitted hereunder if such restrictions or conditions apply only to the property or assets securing such Indebtedness, (D) restrictions or conditions imposed by any agreement relating to unsecured Indebtedness in favor of the Borrower or any Guarantor or effecting a refinancing of such Indebtedness permitted hereunder, (E) customary provisions in leases and other contracts restricting the assignment thereof, (F) software and other Intellectual Property licenses pursuant to which the Borrower or any Restricted Subsidiary is the licensee of the relevant software or Intellectual Property, as the case may be (in which case, any prohibition or limitation shall relate only to the assets subject of the applicable license), (G) prohibitions and limitations in effect on the date hereof and listed on </w:t>
      </w:r>
      <w:r>
        <w:rPr>
          <w:rFonts w:ascii="Times New Roman" w:cs="Times New Roman" w:eastAsia="Times New Roman" w:hAnsi="Times New Roman"/>
          <w:sz w:val="17"/>
          <w:szCs w:val="17"/>
          <w:u w:val="single" w:color="auto"/>
          <w:color w:val="auto"/>
        </w:rPr>
        <w:t>Schedule 7.05</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 customary provisions contained in joint venture agreements and other similar agreements applicable to joint ventures permitted hereby,</w:t>
      </w:r>
    </w:p>
    <w:p>
      <w:pPr>
        <w:spacing w:after="0" w:line="9" w:lineRule="exact"/>
        <w:rPr>
          <w:rFonts w:ascii="Times New Roman" w:cs="Times New Roman" w:eastAsia="Times New Roman" w:hAnsi="Times New Roman"/>
          <w:sz w:val="17"/>
          <w:szCs w:val="17"/>
          <w:color w:val="auto"/>
        </w:rPr>
      </w:pPr>
    </w:p>
    <w:p>
      <w:pPr>
        <w:jc w:val="both"/>
        <w:ind w:left="4"/>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customary provisions restricting the subletting or assignment of any lease governing a leasehold interest, (J) customary restrictions and conditions contained in any agreement relating to an asset sale permitted by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6.04</w:t>
      </w:r>
      <w:r>
        <w:rPr>
          <w:rFonts w:ascii="Times New Roman" w:cs="Times New Roman" w:eastAsia="Times New Roman" w:hAnsi="Times New Roman"/>
          <w:sz w:val="17"/>
          <w:szCs w:val="17"/>
          <w:u w:val="single" w:color="auto"/>
          <w:color w:val="0000FF"/>
        </w:rPr>
        <w:t>7.04</w:t>
      </w:r>
      <w:r>
        <w:rPr>
          <w:rFonts w:ascii="Times New Roman" w:cs="Times New Roman" w:eastAsia="Times New Roman" w:hAnsi="Times New Roman"/>
          <w:sz w:val="17"/>
          <w:szCs w:val="17"/>
          <w:color w:val="auto"/>
        </w:rPr>
        <w:t xml:space="preserve">, (K) any agreement in effect at the time any Person becomes a subsidiary of the Borrower or an Guarantor, so long as such agreement was not entered into in contemplation of such Person becoming a subsidiary of the Borrower or an Guarantor and such agreement relates to such subsidiary and/or its assets only, (L) to any contractual obligations incurred in the ordinary course of business and on customary terms which limit Liens on the assets subject to the applicable contractual obligation, (M) restrictions on the transfer of assets subject to any Lien permitted under this Agreement, (N) restrictions contained in the terms of the Capital Lease Obligations, Synthetic Lease Obligations and purchase money obligations not incurred in violation of this Agreement;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such restrictions relate only to the assets financed with such Indebtedness, (O) restrictions in other Indebtedness incurred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compliance with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such restrictions, taken as a whole, are, in the good faith judgment of the Borrower’s Board of Directors, no more materially restrictive with respect to such encumbrances and restrictions than those contained in the existing agreements referenced in clauses (A) and (N) above, (P) restrictions imposed on any Foreign Subsidiary resulting from the operation of covenants contained in documentation governing Indebtedness of such Foreign Subsidiary permitted under this Agreement, (Q) restrictions on cash or other deposits imposed by customers under contracts or other arrangements entered into or agreed to in the ordinary course of business, or (R) an agreement governing Indebtedness incurred to refinance the Indebtedness issued, assumed or incurred pursuant to an agreement referred to in clauses (A) and</w:t>
      </w:r>
    </w:p>
    <w:p>
      <w:pPr>
        <w:spacing w:after="0" w:line="2" w:lineRule="exact"/>
        <w:rPr>
          <w:rFonts w:ascii="Times New Roman" w:cs="Times New Roman" w:eastAsia="Times New Roman" w:hAnsi="Times New Roman"/>
          <w:sz w:val="17"/>
          <w:szCs w:val="17"/>
          <w:color w:val="auto"/>
        </w:rPr>
      </w:pPr>
    </w:p>
    <w:p>
      <w:pPr>
        <w:jc w:val="both"/>
        <w:ind w:left="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(N) above and otherwise permitted;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provisions relating to such encumbrance or restriction contained in any such Indebtedness are no less favorable to or more restrictive on the Borrower in any material respect as determined by the Board of Directors of the Borrower in their reasonable and good faith judgment than the provisions relating to such encumbrance or restriction contained in agreements referred to in such clauses (A) and (N) above.</w:t>
      </w:r>
    </w:p>
    <w:p>
      <w:pPr>
        <w:spacing w:after="0" w:line="200" w:lineRule="exact"/>
        <w:rPr>
          <w:sz w:val="20"/>
          <w:szCs w:val="20"/>
          <w:color w:val="auto"/>
        </w:rPr>
      </w:pPr>
    </w:p>
    <w:p>
      <w:pPr>
        <w:spacing w:after="0" w:line="205"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6" w:name="page147"/>
    <w:bookmarkEnd w:id="146"/>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7.06.</w:t>
      </w:r>
      <w:r>
        <w:rPr>
          <w:sz w:val="20"/>
          <w:szCs w:val="20"/>
          <w:color w:val="auto"/>
        </w:rPr>
        <w:tab/>
      </w:r>
      <w:r>
        <w:rPr>
          <w:rFonts w:ascii="Times New Roman" w:cs="Times New Roman" w:eastAsia="Times New Roman" w:hAnsi="Times New Roman"/>
          <w:sz w:val="17"/>
          <w:szCs w:val="17"/>
          <w:color w:val="auto"/>
        </w:rPr>
        <w:t>Transactions with Affiliates.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Except for transactions between or among Loan Parties, sell or transfer any property or assets to, or purchase or acquire any property or assets from, or otherwise engage in any other transactions with, any of its Affiliates (other than Affiliated Lenders in connection with the Loan Documents), except that (i) the Borrower or any Restricted Subsidiary may engage in any of the foregoing transactions in the ordinary course of business on terms and conditions not less favorable to the Borrower or such Restricted Subsidiary than could be obtained on an </w:t>
      </w:r>
      <w:r>
        <w:rPr>
          <w:rFonts w:ascii="Times New Roman" w:cs="Times New Roman" w:eastAsia="Times New Roman" w:hAnsi="Times New Roman"/>
          <w:sz w:val="18"/>
          <w:szCs w:val="18"/>
          <w:color w:val="FF0000"/>
          <w:strike w:val="1"/>
        </w:rPr>
        <w:t>arm’s-length</w:t>
      </w:r>
      <w:r>
        <w:rPr>
          <w:rFonts w:ascii="Times New Roman" w:cs="Times New Roman" w:eastAsia="Times New Roman" w:hAnsi="Times New Roman"/>
          <w:sz w:val="18"/>
          <w:szCs w:val="18"/>
          <w:u w:val="single" w:color="auto"/>
          <w:color w:val="0000FF"/>
        </w:rPr>
        <w:t>arm’s length</w:t>
      </w:r>
      <w:r>
        <w:rPr>
          <w:rFonts w:ascii="Times New Roman" w:cs="Times New Roman" w:eastAsia="Times New Roman" w:hAnsi="Times New Roman"/>
          <w:sz w:val="18"/>
          <w:szCs w:val="18"/>
          <w:color w:val="auto"/>
        </w:rPr>
        <w:t xml:space="preserve"> basis from unrelated third parties, (ii) </w:t>
      </w:r>
      <w:r>
        <w:rPr>
          <w:rFonts w:ascii="Times New Roman" w:cs="Times New Roman" w:eastAsia="Times New Roman" w:hAnsi="Times New Roman"/>
          <w:sz w:val="18"/>
          <w:szCs w:val="18"/>
          <w:color w:val="FF0000"/>
          <w:strike w:val="1"/>
        </w:rPr>
        <w:t>the Borrower or any Restricted Subsidiaries may engage in any of the foregoing transactions, whether or not in the ordinary course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business, if such transactions are on terms and conditions not less favorable to the Borrower or such Restricted Subsidiary than could be obtained on an arm’s-length basis from unrelated third parties, and: (1) such transaction, together with any related transactions, involves consideration of less than $5,000,000; or (2) such transaction, together with any related transactions, involves consideration of at least $5,000,000 (inclusive), and has been approved by a majority of the disinterested members of the Borrower’s board of directors,</w:t>
      </w:r>
      <w:r>
        <w:rPr>
          <w:rFonts w:ascii="Times New Roman" w:cs="Times New Roman" w:eastAsia="Times New Roman" w:hAnsi="Times New Roman"/>
          <w:sz w:val="18"/>
          <w:szCs w:val="18"/>
          <w:u w:val="single" w:color="auto"/>
          <w:color w:val="0000FF"/>
          <w:strike w:val="1"/>
        </w:rPr>
        <w:t>[reserved],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(iii) the Borrower and the Restricted Subsidiaries may engage in</w:t>
      </w:r>
    </w:p>
    <w:p>
      <w:pPr>
        <w:spacing w:after="0" w:line="6" w:lineRule="exact"/>
        <w:rPr>
          <w:sz w:val="20"/>
          <w:szCs w:val="20"/>
          <w:color w:val="auto"/>
        </w:rPr>
      </w:pPr>
    </w:p>
    <w:p>
      <w:pPr>
        <w:jc w:val="both"/>
        <w:ind w:firstLine="8"/>
        <w:spacing w:after="0" w:line="251" w:lineRule="auto"/>
        <w:tabs>
          <w:tab w:leader="none" w:pos="255" w:val="left"/>
        </w:tabs>
        <w:numPr>
          <w:ilvl w:val="0"/>
          <w:numId w:val="5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transactions permitted by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7.01(k),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7.03(h), 7.04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7.04(a)(v)</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u w:val="single" w:color="auto"/>
          <w:color w:val="0000FF"/>
        </w:rPr>
        <w:t>, and (2) a Permitted Transfer as described in clause (i)(x)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definition of “Permitted Transfers” so long as such Disposition is on terms and conditions not less favorable to the Borrower or such Restricted Subsidiary than could be obtained on an arm’s length basis from unrelated third parties</w:t>
      </w:r>
      <w:r>
        <w:rPr>
          <w:rFonts w:ascii="Times New Roman" w:cs="Times New Roman" w:eastAsia="Times New Roman" w:hAnsi="Times New Roman"/>
          <w:sz w:val="18"/>
          <w:szCs w:val="18"/>
          <w:color w:val="000000"/>
        </w:rPr>
        <w:t>, (iv) the Borrower and any Restricted Subsidiary may provide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indemnification rights and directors’ and officers’ liability insurance coverage to any of its or its subsidiaries’ directors and officers similar to those currently in effect or containing reasonable additional indemnification rights, (v) Affiliates may make contemporaneous purchase and/or sales of Equity Interests of the Borrower, (vi) any agreement as in effect as of the Closing Date and any amendment, consent, waiver or other modification with respect thereto or replacement agreement thereto so long as any such amendment, consent, waiver or other modification with respect thereto or replacement agreement thereto is not more disadvantageous to the Lenders when taken as a whole as compared to the original agreement as in effect on the Closing Date, (vii) the Borrower and the Restricted Subsidiaries may engage in intercompany transactions among each other permitted by </w:t>
      </w:r>
      <w:r>
        <w:rPr>
          <w:rFonts w:ascii="Times New Roman" w:cs="Times New Roman" w:eastAsia="Times New Roman" w:hAnsi="Times New Roman"/>
          <w:sz w:val="18"/>
          <w:szCs w:val="18"/>
          <w:u w:val="single" w:color="auto"/>
          <w:color w:val="000000"/>
        </w:rPr>
        <w:t>Sections 7.01(c)</w:t>
      </w:r>
      <w:r>
        <w:rPr>
          <w:rFonts w:ascii="Times New Roman" w:cs="Times New Roman" w:eastAsia="Times New Roman" w:hAnsi="Times New Roman"/>
          <w:sz w:val="18"/>
          <w:szCs w:val="18"/>
          <w:color w:val="000000"/>
        </w:rPr>
        <w:t xml:space="preserve"> and (g), </w:t>
      </w:r>
      <w:r>
        <w:rPr>
          <w:rFonts w:ascii="Times New Roman" w:cs="Times New Roman" w:eastAsia="Times New Roman" w:hAnsi="Times New Roman"/>
          <w:sz w:val="18"/>
          <w:szCs w:val="18"/>
          <w:u w:val="single" w:color="auto"/>
          <w:color w:val="000000"/>
        </w:rPr>
        <w:t>Section 7.02(r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Section 7.03</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7.04(a)(v)</w:t>
      </w:r>
      <w:r>
        <w:rPr>
          <w:rFonts w:ascii="Times New Roman" w:cs="Times New Roman" w:eastAsia="Times New Roman" w:hAnsi="Times New Roman"/>
          <w:sz w:val="18"/>
          <w:szCs w:val="18"/>
          <w:color w:val="000000"/>
        </w:rPr>
        <w:t>, (viii) the Borrower and its Subsidiaries may enter into a tax sharing agreement with any Affiliates of the Borrower and (ix) the Borrower may consummate the Enzon Merger and the transactions contemplated by the Enzon Merger Agreement (including, without limitation, the Surviving Company Conversion) pursuant to the Enzon Merger Agreement.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ind w:left="4"/>
        <w:spacing w:after="0"/>
        <w:tabs>
          <w:tab w:leader="none" w:pos="624" w:val="left"/>
        </w:tabs>
        <w:rPr>
          <w:sz w:val="20"/>
          <w:szCs w:val="20"/>
          <w:color w:val="auto"/>
        </w:rPr>
      </w:pPr>
      <w:r>
        <w:rPr>
          <w:rFonts w:ascii="Times New Roman" w:cs="Times New Roman" w:eastAsia="Times New Roman" w:hAnsi="Times New Roman"/>
          <w:sz w:val="18"/>
          <w:szCs w:val="18"/>
          <w:b w:val="1"/>
          <w:bCs w:val="1"/>
          <w:color w:val="auto"/>
        </w:rPr>
        <w:t>7.07.</w:t>
      </w:r>
      <w:r>
        <w:rPr>
          <w:sz w:val="20"/>
          <w:szCs w:val="20"/>
          <w:color w:val="auto"/>
        </w:rPr>
        <w:tab/>
      </w:r>
      <w:r>
        <w:rPr>
          <w:rFonts w:ascii="Times New Roman" w:cs="Times New Roman" w:eastAsia="Times New Roman" w:hAnsi="Times New Roman"/>
          <w:sz w:val="18"/>
          <w:szCs w:val="18"/>
          <w:color w:val="auto"/>
        </w:rPr>
        <w:t>Business of the Borrower and the Restricted Subsidiaries.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Neither the Borrower nor any Restricted Subsidiary shall engage at any time in any business or business activity other than a Permitted Business.</w:t>
      </w:r>
    </w:p>
    <w:p>
      <w:pPr>
        <w:spacing w:after="0" w:line="221"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b w:val="1"/>
          <w:bCs w:val="1"/>
          <w:color w:val="auto"/>
        </w:rPr>
        <w:t>7.08.</w:t>
      </w:r>
      <w:r>
        <w:rPr>
          <w:sz w:val="20"/>
          <w:szCs w:val="20"/>
          <w:color w:val="auto"/>
        </w:rPr>
        <w:tab/>
      </w:r>
      <w:r>
        <w:rPr>
          <w:rFonts w:ascii="Times New Roman" w:cs="Times New Roman" w:eastAsia="Times New Roman" w:hAnsi="Times New Roman"/>
          <w:sz w:val="18"/>
          <w:szCs w:val="18"/>
          <w:color w:val="auto"/>
        </w:rPr>
        <w:t>Other Indebtedness and Agreements.</w:t>
      </w:r>
    </w:p>
    <w:p>
      <w:pPr>
        <w:spacing w:after="0" w:line="22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Permit (i) any waiver, supplement, modification, amendment, termination or release of any indenture, instrument or agreement pursuant to which any Material Indebtedness of the Borrower or any of the Restricted Subsidiaries is outstanding if the effect of such waiver, supplement, modification, amendment, termination or release would be materially adverse to the Lenders or would result in such Material Indebtedness not to be permitted hereunder on the terms resulting from such modification, or (ii) any material waiver, supplement, modification or amendment of (x) Organization Document, (y) an agreement set forth on </w:t>
      </w:r>
      <w:r>
        <w:rPr>
          <w:rFonts w:ascii="Times New Roman" w:cs="Times New Roman" w:eastAsia="Times New Roman" w:hAnsi="Times New Roman"/>
          <w:sz w:val="18"/>
          <w:szCs w:val="18"/>
          <w:u w:val="single" w:color="auto"/>
          <w:color w:val="auto"/>
        </w:rPr>
        <w:t>Schedule 7.08(a)</w:t>
      </w:r>
      <w:r>
        <w:rPr>
          <w:rFonts w:ascii="Times New Roman" w:cs="Times New Roman" w:eastAsia="Times New Roman" w:hAnsi="Times New Roman"/>
          <w:sz w:val="18"/>
          <w:szCs w:val="18"/>
          <w:color w:val="auto"/>
        </w:rPr>
        <w:t>, or (z) any lease between the Borrower or a Guarantor and an Affiliate of the Borrower or such Guarantor that has the effect of increasing the rental amounts payable thereunder, in the case of clause</w:t>
      </w:r>
    </w:p>
    <w:p>
      <w:pPr>
        <w:spacing w:after="0" w:line="5" w:lineRule="exact"/>
        <w:rPr>
          <w:sz w:val="20"/>
          <w:szCs w:val="20"/>
          <w:color w:val="auto"/>
        </w:rPr>
      </w:pPr>
    </w:p>
    <w:p>
      <w:pPr>
        <w:jc w:val="both"/>
        <w:ind w:left="4" w:hanging="4"/>
        <w:spacing w:after="0" w:line="255" w:lineRule="auto"/>
        <w:tabs>
          <w:tab w:leader="none" w:pos="2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(z), to the extent any such waiver, supplement, modification or amendment would be adverse to the Lenders (in their capacities as Lenders) in any material respect, and in the case of clause (x), to the extent any such waiver, supplement, modification or amendment would materially adverse to the Secured Parties.</w:t>
      </w:r>
    </w:p>
    <w:p>
      <w:pPr>
        <w:spacing w:after="0" w:line="186"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Make (or give any notice in respect thereof) any payment or prepayment of principal on or redemption, repurchase, defeasance or acquisition for value of, or any prepayment or redemption as a result of any asset sale, change of control or similar event of, any Indebtedness outstanding under any Subordinated Indebtedness, junior lien or unsecured Indebtedness, except (i) any payment of principal at scheduled maturity, (ii) a refinancing permitted by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(iii) any payment to the extent made with Qualified Equity Interests of the Borrower or with the proceeds from the substantially concurrent sale of any Qualified Equity Interests of the Borrower, (iv) any refinancing of Permitted Unsecured Debt with other Permitted Unsecured Debt, Subordinated Indebtedness or Equity Issuances (</w:t>
      </w:r>
      <w:r>
        <w:rPr>
          <w:rFonts w:ascii="Times New Roman" w:cs="Times New Roman" w:eastAsia="Times New Roman" w:hAnsi="Times New Roman"/>
          <w:sz w:val="18"/>
          <w:szCs w:val="18"/>
          <w:color w:val="FF0000"/>
          <w:strike w:val="1"/>
        </w:rPr>
        <w:t>other than any Specified Equity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in the case of any Permitted Unsecured Debt or Subordinated Indebtedness, only to the extent the same is permitted to be incurred in accordance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with </w:t>
      </w:r>
      <w:r>
        <w:rPr>
          <w:rFonts w:ascii="Times New Roman" w:cs="Times New Roman" w:eastAsia="Times New Roman" w:hAnsi="Times New Roman"/>
          <w:sz w:val="18"/>
          <w:szCs w:val="18"/>
          <w:u w:val="single" w:color="auto"/>
          <w:color w:val="000000"/>
        </w:rPr>
        <w:t>Section 7.01)</w:t>
      </w:r>
      <w:r>
        <w:rPr>
          <w:rFonts w:ascii="Times New Roman" w:cs="Times New Roman" w:eastAsia="Times New Roman" w:hAnsi="Times New Roman"/>
          <w:sz w:val="18"/>
          <w:szCs w:val="18"/>
          <w:color w:val="000000"/>
        </w:rPr>
        <w:t>, (v) any payment required in connection with customary offers to repurchase upon an Disposition or a “change of control” or similar provision or (vi) any payment in connection with any intercompany Indebtedness permitted hereunder and not in violation of the terms of the Intercompany Note.</w:t>
      </w:r>
    </w:p>
    <w:p>
      <w:pPr>
        <w:spacing w:after="0" w:line="190"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b w:val="1"/>
          <w:bCs w:val="1"/>
          <w:color w:val="auto"/>
        </w:rPr>
        <w:t>7.09.</w:t>
      </w:r>
      <w:r>
        <w:rPr>
          <w:sz w:val="20"/>
          <w:szCs w:val="20"/>
          <w:color w:val="auto"/>
        </w:rPr>
        <w:tab/>
      </w:r>
      <w:r>
        <w:rPr>
          <w:rFonts w:ascii="Times New Roman" w:cs="Times New Roman" w:eastAsia="Times New Roman" w:hAnsi="Times New Roman"/>
          <w:sz w:val="17"/>
          <w:szCs w:val="17"/>
          <w:color w:val="auto"/>
        </w:rPr>
        <w:t>Fiscal Year.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respect to the Borrower, change its fiscal year-end to a date other than December 31.</w:t>
      </w:r>
    </w:p>
    <w:p>
      <w:pPr>
        <w:spacing w:after="0" w:line="221" w:lineRule="exact"/>
        <w:rPr>
          <w:sz w:val="20"/>
          <w:szCs w:val="20"/>
          <w:color w:val="auto"/>
        </w:rPr>
      </w:pPr>
    </w:p>
    <w:p>
      <w:pPr>
        <w:ind w:left="4"/>
        <w:spacing w:after="0"/>
        <w:tabs>
          <w:tab w:leader="none" w:pos="624" w:val="left"/>
        </w:tabs>
        <w:rPr>
          <w:sz w:val="20"/>
          <w:szCs w:val="20"/>
          <w:color w:val="auto"/>
        </w:rPr>
      </w:pPr>
      <w:r>
        <w:rPr>
          <w:rFonts w:ascii="Times New Roman" w:cs="Times New Roman" w:eastAsia="Times New Roman" w:hAnsi="Times New Roman"/>
          <w:sz w:val="18"/>
          <w:szCs w:val="18"/>
          <w:b w:val="1"/>
          <w:bCs w:val="1"/>
          <w:color w:val="auto"/>
        </w:rPr>
        <w:t>7.10.</w:t>
      </w:r>
      <w:r>
        <w:rPr>
          <w:sz w:val="20"/>
          <w:szCs w:val="20"/>
          <w:color w:val="auto"/>
        </w:rPr>
        <w:tab/>
      </w:r>
      <w:r>
        <w:rPr>
          <w:rFonts w:ascii="Times New Roman" w:cs="Times New Roman" w:eastAsia="Times New Roman" w:hAnsi="Times New Roman"/>
          <w:sz w:val="18"/>
          <w:szCs w:val="18"/>
          <w:color w:val="auto"/>
        </w:rPr>
        <w:t>Sale and Leaseback Transaction.</w:t>
      </w:r>
    </w:p>
    <w:p>
      <w:pPr>
        <w:spacing w:after="0" w:line="229"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 xml:space="preserve">Enter into any arrangement, directly or indirectly, in any Sale and Leaseback Transaction unless (a) the sale or transfer of such property is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such arrangement is consummated for fair value as determined at the time of consummation in good faith by the Borrower (which determination may take into account any retained interest or other investment of the Borrower or its Restricted Subsidiaries in connection with, and any other material economic terms of, such arrangement), and (b) any Capital Lease Obligations or Synthetic Lease Obligations or Liens arising in connection therewith are permitted by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as the case may be.</w:t>
      </w:r>
    </w:p>
    <w:p>
      <w:pPr>
        <w:spacing w:after="0" w:line="399"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48" w:name="page149"/>
    <w:bookmarkEnd w:id="148"/>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7"/>
          <w:szCs w:val="17"/>
          <w:color w:val="auto"/>
        </w:rPr>
        <w:t>Financial Covenants.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Consolidated Leverage Ratio</w:t>
      </w:r>
      <w:r>
        <w:rPr>
          <w:rFonts w:ascii="Times New Roman" w:cs="Times New Roman" w:eastAsia="Times New Roman" w:hAnsi="Times New Roman"/>
          <w:sz w:val="18"/>
          <w:szCs w:val="18"/>
          <w:color w:val="auto"/>
        </w:rPr>
        <w:t>. Permit the Consolidated Leverage Ratio as of the end of any Measurement Period ending as of the end of any fiscal quarter of the Borrower set forth below to be greater than the ratio set forth below opposite such period:</w:t>
      </w:r>
    </w:p>
    <w:p>
      <w:pPr>
        <w:spacing w:after="0" w:line="160" w:lineRule="exact"/>
        <w:rPr>
          <w:sz w:val="20"/>
          <w:szCs w:val="20"/>
          <w:color w:val="auto"/>
        </w:rPr>
      </w:pPr>
    </w:p>
    <w:tbl>
      <w:tblPr>
        <w:tblLayout w:type="fixed"/>
        <w:tblInd w:w="490" w:type="dxa"/>
        <w:tblCellMar>
          <w:top w:w="0" w:type="dxa"/>
          <w:left w:w="0" w:type="dxa"/>
          <w:bottom w:w="0" w:type="dxa"/>
          <w:right w:w="0" w:type="dxa"/>
        </w:tblCellMar>
      </w:tblPr>
      <w:tr>
        <w:trPr>
          <w:trHeight w:val="207"/>
        </w:trPr>
        <w:tc>
          <w:tcPr>
            <w:tcW w:w="6480" w:type="dxa"/>
            <w:vAlign w:val="bottom"/>
            <w:tcBorders>
              <w:top w:val="single" w:sz="8" w:color="010101"/>
              <w:left w:val="single" w:sz="8" w:color="010101"/>
              <w:right w:val="single" w:sz="8" w:color="010101"/>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Measurement Period Ending</w:t>
            </w:r>
          </w:p>
        </w:tc>
        <w:tc>
          <w:tcPr>
            <w:tcW w:w="250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6480" w:type="dxa"/>
            <w:vAlign w:val="bottom"/>
            <w:tcBorders>
              <w:left w:val="single" w:sz="8" w:color="010101"/>
              <w:right w:val="single" w:sz="8" w:color="010101"/>
            </w:tcBorders>
          </w:tcPr>
          <w:p>
            <w:pPr>
              <w:spacing w:after="0"/>
              <w:rPr>
                <w:sz w:val="18"/>
                <w:szCs w:val="18"/>
                <w:color w:val="auto"/>
              </w:rPr>
            </w:pPr>
          </w:p>
        </w:tc>
        <w:tc>
          <w:tcPr>
            <w:tcW w:w="250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38"/>
        </w:trPr>
        <w:tc>
          <w:tcPr>
            <w:tcW w:w="6480" w:type="dxa"/>
            <w:vAlign w:val="bottom"/>
            <w:tcBorders>
              <w:left w:val="single" w:sz="8" w:color="010101"/>
              <w:bottom w:val="single" w:sz="8" w:color="010101"/>
              <w:right w:val="single" w:sz="8" w:color="010101"/>
            </w:tcBorders>
          </w:tcPr>
          <w:p>
            <w:pPr>
              <w:spacing w:after="0"/>
              <w:rPr>
                <w:sz w:val="20"/>
                <w:szCs w:val="20"/>
                <w:color w:val="auto"/>
              </w:rPr>
            </w:pPr>
          </w:p>
        </w:tc>
        <w:tc>
          <w:tcPr>
            <w:tcW w:w="2500" w:type="dxa"/>
            <w:vAlign w:val="bottom"/>
            <w:tcBorders>
              <w:bottom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Leverage Ratio</w:t>
            </w:r>
          </w:p>
        </w:tc>
      </w:tr>
      <w:tr>
        <w:trPr>
          <w:trHeight w:val="210"/>
        </w:trPr>
        <w:tc>
          <w:tcPr>
            <w:tcW w:w="6480" w:type="dxa"/>
            <w:vAlign w:val="bottom"/>
            <w:tcBorders>
              <w:left w:val="single" w:sz="8" w:color="010101"/>
              <w:bottom w:val="single" w:sz="8" w:color="010101"/>
              <w:right w:val="single" w:sz="8" w:color="010101"/>
            </w:tcBorders>
          </w:tcPr>
          <w:p>
            <w:pPr>
              <w:ind w:left="20"/>
              <w:spacing w:after="0"/>
              <w:rPr>
                <w:sz w:val="20"/>
                <w:szCs w:val="20"/>
                <w:color w:val="auto"/>
              </w:rPr>
            </w:pPr>
            <w:r>
              <w:rPr>
                <w:rFonts w:ascii="Times New Roman" w:cs="Times New Roman" w:eastAsia="Times New Roman" w:hAnsi="Times New Roman"/>
                <w:sz w:val="18"/>
                <w:szCs w:val="18"/>
                <w:color w:val="auto"/>
              </w:rPr>
              <w:t>June 30, 2021 through December 31, 2022</w:t>
            </w:r>
          </w:p>
        </w:tc>
        <w:tc>
          <w:tcPr>
            <w:tcW w:w="2500" w:type="dxa"/>
            <w:vAlign w:val="bottom"/>
            <w:tcBorders>
              <w:bottom w:val="single" w:sz="8" w:color="010101"/>
              <w:right w:val="single" w:sz="8" w:color="010101"/>
            </w:tcBorders>
          </w:tcPr>
          <w:p>
            <w:pPr>
              <w:ind w:left="980"/>
              <w:spacing w:after="0"/>
              <w:rPr>
                <w:sz w:val="20"/>
                <w:szCs w:val="20"/>
                <w:color w:val="auto"/>
              </w:rPr>
            </w:pPr>
            <w:r>
              <w:rPr>
                <w:rFonts w:ascii="Times New Roman" w:cs="Times New Roman" w:eastAsia="Times New Roman" w:hAnsi="Times New Roman"/>
                <w:sz w:val="18"/>
                <w:szCs w:val="18"/>
                <w:color w:val="auto"/>
              </w:rPr>
              <w:t>3.75 to 1.00</w:t>
            </w:r>
          </w:p>
        </w:tc>
      </w:tr>
      <w:tr>
        <w:trPr>
          <w:trHeight w:val="209"/>
        </w:trPr>
        <w:tc>
          <w:tcPr>
            <w:tcW w:w="6480" w:type="dxa"/>
            <w:vAlign w:val="bottom"/>
            <w:tcBorders>
              <w:left w:val="single" w:sz="8" w:color="010101"/>
              <w:bottom w:val="single" w:sz="8" w:color="010101"/>
              <w:right w:val="single" w:sz="8" w:color="010101"/>
            </w:tcBorders>
          </w:tcPr>
          <w:p>
            <w:pPr>
              <w:ind w:left="20"/>
              <w:spacing w:after="0"/>
              <w:rPr>
                <w:sz w:val="20"/>
                <w:szCs w:val="20"/>
                <w:color w:val="auto"/>
              </w:rPr>
            </w:pPr>
            <w:r>
              <w:rPr>
                <w:rFonts w:ascii="Times New Roman" w:cs="Times New Roman" w:eastAsia="Times New Roman" w:hAnsi="Times New Roman"/>
                <w:sz w:val="18"/>
                <w:szCs w:val="18"/>
                <w:color w:val="auto"/>
              </w:rPr>
              <w:t>March 31, 2023 through December 31, 2024</w:t>
            </w:r>
          </w:p>
        </w:tc>
        <w:tc>
          <w:tcPr>
            <w:tcW w:w="2500" w:type="dxa"/>
            <w:vAlign w:val="bottom"/>
            <w:tcBorders>
              <w:bottom w:val="single" w:sz="8" w:color="010101"/>
              <w:right w:val="single" w:sz="8" w:color="010101"/>
            </w:tcBorders>
          </w:tcPr>
          <w:p>
            <w:pPr>
              <w:ind w:left="980"/>
              <w:spacing w:after="0"/>
              <w:rPr>
                <w:sz w:val="20"/>
                <w:szCs w:val="20"/>
                <w:color w:val="auto"/>
              </w:rPr>
            </w:pPr>
            <w:r>
              <w:rPr>
                <w:rFonts w:ascii="Times New Roman" w:cs="Times New Roman" w:eastAsia="Times New Roman" w:hAnsi="Times New Roman"/>
                <w:sz w:val="18"/>
                <w:szCs w:val="18"/>
                <w:color w:val="auto"/>
              </w:rPr>
              <w:t>3.50 to 1.00</w:t>
            </w:r>
          </w:p>
        </w:tc>
      </w:tr>
      <w:tr>
        <w:trPr>
          <w:trHeight w:val="209"/>
        </w:trPr>
        <w:tc>
          <w:tcPr>
            <w:tcW w:w="6480" w:type="dxa"/>
            <w:vAlign w:val="bottom"/>
            <w:tcBorders>
              <w:left w:val="single" w:sz="8" w:color="010101"/>
              <w:bottom w:val="single" w:sz="8" w:color="010101"/>
              <w:right w:val="single" w:sz="8" w:color="010101"/>
            </w:tcBorders>
          </w:tcPr>
          <w:p>
            <w:pPr>
              <w:ind w:left="20"/>
              <w:spacing w:after="0"/>
              <w:rPr>
                <w:sz w:val="20"/>
                <w:szCs w:val="20"/>
                <w:color w:val="auto"/>
              </w:rPr>
            </w:pPr>
            <w:r>
              <w:rPr>
                <w:rFonts w:ascii="Times New Roman" w:cs="Times New Roman" w:eastAsia="Times New Roman" w:hAnsi="Times New Roman"/>
                <w:sz w:val="18"/>
                <w:szCs w:val="18"/>
                <w:color w:val="auto"/>
              </w:rPr>
              <w:t>March 31, 2025 through December 31, 2025</w:t>
            </w:r>
          </w:p>
        </w:tc>
        <w:tc>
          <w:tcPr>
            <w:tcW w:w="2500" w:type="dxa"/>
            <w:vAlign w:val="bottom"/>
            <w:tcBorders>
              <w:bottom w:val="single" w:sz="8" w:color="010101"/>
              <w:right w:val="single" w:sz="8" w:color="010101"/>
            </w:tcBorders>
          </w:tcPr>
          <w:p>
            <w:pPr>
              <w:ind w:left="980"/>
              <w:spacing w:after="0"/>
              <w:rPr>
                <w:sz w:val="20"/>
                <w:szCs w:val="20"/>
                <w:color w:val="auto"/>
              </w:rPr>
            </w:pPr>
            <w:r>
              <w:rPr>
                <w:rFonts w:ascii="Times New Roman" w:cs="Times New Roman" w:eastAsia="Times New Roman" w:hAnsi="Times New Roman"/>
                <w:sz w:val="18"/>
                <w:szCs w:val="18"/>
                <w:color w:val="auto"/>
              </w:rPr>
              <w:t>4.00 to 1.00</w:t>
            </w:r>
          </w:p>
        </w:tc>
      </w:tr>
      <w:tr>
        <w:trPr>
          <w:trHeight w:val="228"/>
        </w:trPr>
        <w:tc>
          <w:tcPr>
            <w:tcW w:w="6480" w:type="dxa"/>
            <w:vAlign w:val="bottom"/>
            <w:tcBorders>
              <w:left w:val="single" w:sz="8" w:color="010101"/>
              <w:right w:val="single" w:sz="8" w:color="010101"/>
            </w:tcBorders>
          </w:tcPr>
          <w:p>
            <w:pPr>
              <w:ind w:left="20"/>
              <w:spacing w:after="0"/>
              <w:rPr>
                <w:sz w:val="20"/>
                <w:szCs w:val="20"/>
                <w:color w:val="auto"/>
              </w:rPr>
            </w:pPr>
            <w:r>
              <w:rPr>
                <w:rFonts w:ascii="Times New Roman" w:cs="Times New Roman" w:eastAsia="Times New Roman" w:hAnsi="Times New Roman"/>
                <w:sz w:val="18"/>
                <w:szCs w:val="18"/>
                <w:color w:val="FF0000"/>
                <w:strike w:val="1"/>
              </w:rPr>
              <w:t>March 31, 2026 and each fiscal quarter thereafter</w:t>
            </w:r>
          </w:p>
        </w:tc>
        <w:tc>
          <w:tcPr>
            <w:tcW w:w="2500" w:type="dxa"/>
            <w:vAlign w:val="bottom"/>
            <w:tcBorders>
              <w:right w:val="single" w:sz="8" w:color="010101"/>
            </w:tcBorders>
          </w:tcPr>
          <w:p>
            <w:pPr>
              <w:ind w:left="980"/>
              <w:spacing w:after="0"/>
              <w:rPr>
                <w:sz w:val="20"/>
                <w:szCs w:val="20"/>
                <w:color w:val="auto"/>
              </w:rPr>
            </w:pPr>
            <w:r>
              <w:rPr>
                <w:rFonts w:ascii="Times New Roman" w:cs="Times New Roman" w:eastAsia="Times New Roman" w:hAnsi="Times New Roman"/>
                <w:sz w:val="18"/>
                <w:szCs w:val="18"/>
                <w:color w:val="FF0000"/>
                <w:strike w:val="1"/>
              </w:rPr>
              <w:t>3.50 to 1.00</w:t>
            </w:r>
          </w:p>
        </w:tc>
      </w:tr>
      <w:tr>
        <w:trPr>
          <w:trHeight w:val="76"/>
        </w:trPr>
        <w:tc>
          <w:tcPr>
            <w:tcW w:w="6480" w:type="dxa"/>
            <w:vAlign w:val="bottom"/>
            <w:tcBorders>
              <w:left w:val="single" w:sz="8" w:color="010101"/>
              <w:bottom w:val="single" w:sz="8" w:color="010101"/>
              <w:right w:val="single" w:sz="8" w:color="010101"/>
            </w:tcBorders>
          </w:tcPr>
          <w:p>
            <w:pPr>
              <w:spacing w:after="0"/>
              <w:rPr>
                <w:sz w:val="6"/>
                <w:szCs w:val="6"/>
                <w:color w:val="auto"/>
              </w:rPr>
            </w:pPr>
          </w:p>
        </w:tc>
        <w:tc>
          <w:tcPr>
            <w:tcW w:w="2500" w:type="dxa"/>
            <w:vAlign w:val="bottom"/>
            <w:tcBorders>
              <w:bottom w:val="single" w:sz="8" w:color="010101"/>
              <w:right w:val="single" w:sz="8" w:color="010101"/>
            </w:tcBorders>
          </w:tcPr>
          <w:p>
            <w:pPr>
              <w:spacing w:after="0"/>
              <w:rPr>
                <w:sz w:val="6"/>
                <w:szCs w:val="6"/>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parties hereto hereby acknowledge and agree that the amendments to this Section 7.11(a) implemented pursuant to the Second Amendment shall be effective and apply with respect to the calculation of the Consolidated Leverage Ratio for the Measurement Period ending on June 30, 2022</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regardless of the Second Amendment Effective Date occurring after June 30, 2022.</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Notwithstanding the foregoing, from and after the Seventh Amendment Effective Date, the Loan Parties shall not be required to comply with the financial covenant set forth in this Section 7.11(a) but shall be required to provide a calculation of the Consolidated Leverage Ratio on each Compliance Certificate delivered with respect to the end of each fiscal quarter pursuant to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Consolidated Fixed Charge Coverage Ratio</w:t>
      </w:r>
      <w:r>
        <w:rPr>
          <w:rFonts w:ascii="Times New Roman" w:cs="Times New Roman" w:eastAsia="Times New Roman" w:hAnsi="Times New Roman"/>
          <w:sz w:val="18"/>
          <w:szCs w:val="18"/>
          <w:color w:val="auto"/>
        </w:rPr>
        <w:t xml:space="preserve">. Permit the Consolidated Fixed Charge Coverage Ratio as of the end of any Measurement Period ending as of the end of any fiscal quarter of the Borrower ending after the Closing Date to be less than 1.20 to 1.00;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that</w:t>
      </w:r>
      <w:r>
        <w:rPr>
          <w:rFonts w:ascii="Times New Roman" w:cs="Times New Roman" w:eastAsia="Times New Roman" w:hAnsi="Times New Roman"/>
          <w:sz w:val="18"/>
          <w:szCs w:val="18"/>
          <w:color w:val="auto"/>
        </w:rPr>
        <w:t>, during the Covenant Modification Period, the Borrower shall not permit the Consolidated Fixed Charge Coverage Ratio as of the end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set forth below to be less than the ratio set forth below opposite such period:</w:t>
      </w:r>
    </w:p>
    <w:p>
      <w:pPr>
        <w:spacing w:after="0" w:line="178" w:lineRule="exact"/>
        <w:rPr>
          <w:sz w:val="20"/>
          <w:szCs w:val="20"/>
          <w:color w:val="auto"/>
        </w:rPr>
      </w:pPr>
    </w:p>
    <w:tbl>
      <w:tblPr>
        <w:tblLayout w:type="fixed"/>
        <w:tblInd w:w="490" w:type="dxa"/>
        <w:tblCellMar>
          <w:top w:w="0" w:type="dxa"/>
          <w:left w:w="0" w:type="dxa"/>
          <w:bottom w:w="0" w:type="dxa"/>
          <w:right w:w="0" w:type="dxa"/>
        </w:tblCellMar>
      </w:tblPr>
      <w:tr>
        <w:trPr>
          <w:trHeight w:val="207"/>
        </w:trPr>
        <w:tc>
          <w:tcPr>
            <w:tcW w:w="6480" w:type="dxa"/>
            <w:vAlign w:val="bottom"/>
            <w:tcBorders>
              <w:top w:val="single" w:sz="8" w:color="010101"/>
              <w:left w:val="single" w:sz="8" w:color="010101"/>
              <w:right w:val="single" w:sz="8" w:color="010101"/>
            </w:tcBorders>
          </w:tcPr>
          <w:p>
            <w:pPr>
              <w:spacing w:after="0"/>
              <w:rPr>
                <w:sz w:val="18"/>
                <w:szCs w:val="18"/>
                <w:color w:val="auto"/>
              </w:rPr>
            </w:pPr>
          </w:p>
        </w:tc>
        <w:tc>
          <w:tcPr>
            <w:tcW w:w="2500" w:type="dxa"/>
            <w:vAlign w:val="bottom"/>
            <w:tcBorders>
              <w:top w:val="single" w:sz="8" w:color="010101"/>
              <w:right w:val="single" w:sz="8" w:color="010101"/>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Minimum</w:t>
            </w:r>
          </w:p>
        </w:tc>
      </w:tr>
      <w:tr>
        <w:trPr>
          <w:trHeight w:val="216"/>
        </w:trPr>
        <w:tc>
          <w:tcPr>
            <w:tcW w:w="6480" w:type="dxa"/>
            <w:vAlign w:val="bottom"/>
            <w:tcBorders>
              <w:left w:val="single" w:sz="8" w:color="010101"/>
              <w:right w:val="single" w:sz="8" w:color="010101"/>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Period Ending</w:t>
            </w:r>
          </w:p>
        </w:tc>
        <w:tc>
          <w:tcPr>
            <w:tcW w:w="250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16"/>
        </w:trPr>
        <w:tc>
          <w:tcPr>
            <w:tcW w:w="6480" w:type="dxa"/>
            <w:vAlign w:val="bottom"/>
            <w:tcBorders>
              <w:left w:val="single" w:sz="8" w:color="010101"/>
              <w:right w:val="single" w:sz="8" w:color="010101"/>
            </w:tcBorders>
          </w:tcPr>
          <w:p>
            <w:pPr>
              <w:spacing w:after="0"/>
              <w:rPr>
                <w:sz w:val="18"/>
                <w:szCs w:val="18"/>
                <w:color w:val="auto"/>
              </w:rPr>
            </w:pPr>
          </w:p>
        </w:tc>
        <w:tc>
          <w:tcPr>
            <w:tcW w:w="2500" w:type="dxa"/>
            <w:vAlign w:val="bottom"/>
            <w:tcBorders>
              <w:right w:val="single" w:sz="8" w:color="010101"/>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Fixed Charge</w:t>
            </w:r>
          </w:p>
        </w:tc>
      </w:tr>
      <w:tr>
        <w:trPr>
          <w:trHeight w:val="238"/>
        </w:trPr>
        <w:tc>
          <w:tcPr>
            <w:tcW w:w="6480" w:type="dxa"/>
            <w:vAlign w:val="bottom"/>
            <w:tcBorders>
              <w:left w:val="single" w:sz="8" w:color="010101"/>
              <w:bottom w:val="single" w:sz="8" w:color="010101"/>
              <w:right w:val="single" w:sz="8" w:color="010101"/>
            </w:tcBorders>
          </w:tcPr>
          <w:p>
            <w:pPr>
              <w:spacing w:after="0"/>
              <w:rPr>
                <w:sz w:val="20"/>
                <w:szCs w:val="20"/>
                <w:color w:val="auto"/>
              </w:rPr>
            </w:pPr>
          </w:p>
        </w:tc>
        <w:tc>
          <w:tcPr>
            <w:tcW w:w="2500" w:type="dxa"/>
            <w:vAlign w:val="bottom"/>
            <w:tcBorders>
              <w:bottom w:val="single" w:sz="8" w:color="010101"/>
              <w:right w:val="single" w:sz="8" w:color="010101"/>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Coverage Ratio</w:t>
            </w:r>
          </w:p>
        </w:tc>
      </w:tr>
      <w:tr>
        <w:trPr>
          <w:trHeight w:val="209"/>
        </w:trPr>
        <w:tc>
          <w:tcPr>
            <w:tcW w:w="6480" w:type="dxa"/>
            <w:vAlign w:val="bottom"/>
            <w:tcBorders>
              <w:left w:val="single" w:sz="8" w:color="010101"/>
              <w:bottom w:val="single" w:sz="8" w:color="010101"/>
              <w:right w:val="single" w:sz="8" w:color="010101"/>
            </w:tcBorders>
          </w:tcPr>
          <w:p>
            <w:pPr>
              <w:ind w:left="20"/>
              <w:spacing w:after="0"/>
              <w:rPr>
                <w:sz w:val="20"/>
                <w:szCs w:val="20"/>
                <w:color w:val="auto"/>
              </w:rPr>
            </w:pPr>
            <w:r>
              <w:rPr>
                <w:rFonts w:ascii="Times New Roman" w:cs="Times New Roman" w:eastAsia="Times New Roman" w:hAnsi="Times New Roman"/>
                <w:sz w:val="18"/>
                <w:szCs w:val="18"/>
                <w:color w:val="auto"/>
              </w:rPr>
              <w:t>One fiscal quarter period commencing on January 1, 2025 and ending March 31, 2025</w:t>
            </w:r>
          </w:p>
        </w:tc>
        <w:tc>
          <w:tcPr>
            <w:tcW w:w="2500" w:type="dxa"/>
            <w:vAlign w:val="bottom"/>
            <w:tcBorders>
              <w:bottom w:val="single" w:sz="8" w:color="010101"/>
              <w:right w:val="single" w:sz="8" w:color="010101"/>
            </w:tcBorders>
          </w:tcPr>
          <w:p>
            <w:pPr>
              <w:jc w:val="right"/>
              <w:ind w:right="570"/>
              <w:spacing w:after="0"/>
              <w:rPr>
                <w:sz w:val="20"/>
                <w:szCs w:val="20"/>
                <w:color w:val="auto"/>
              </w:rPr>
            </w:pPr>
            <w:r>
              <w:rPr>
                <w:rFonts w:ascii="Times New Roman" w:cs="Times New Roman" w:eastAsia="Times New Roman" w:hAnsi="Times New Roman"/>
                <w:sz w:val="18"/>
                <w:szCs w:val="18"/>
                <w:color w:val="auto"/>
              </w:rPr>
              <w:t>1.20 to 1.00</w:t>
            </w:r>
          </w:p>
        </w:tc>
      </w:tr>
      <w:tr>
        <w:trPr>
          <w:trHeight w:val="210"/>
        </w:trPr>
        <w:tc>
          <w:tcPr>
            <w:tcW w:w="6480" w:type="dxa"/>
            <w:vAlign w:val="bottom"/>
            <w:tcBorders>
              <w:left w:val="single" w:sz="8" w:color="010101"/>
              <w:bottom w:val="single" w:sz="8" w:color="010101"/>
              <w:right w:val="single" w:sz="8" w:color="010101"/>
            </w:tcBorders>
          </w:tcPr>
          <w:p>
            <w:pPr>
              <w:ind w:left="20"/>
              <w:spacing w:after="0"/>
              <w:rPr>
                <w:sz w:val="20"/>
                <w:szCs w:val="20"/>
                <w:color w:val="auto"/>
              </w:rPr>
            </w:pPr>
            <w:r>
              <w:rPr>
                <w:rFonts w:ascii="Times New Roman" w:cs="Times New Roman" w:eastAsia="Times New Roman" w:hAnsi="Times New Roman"/>
                <w:sz w:val="18"/>
                <w:szCs w:val="18"/>
                <w:color w:val="auto"/>
              </w:rPr>
              <w:t>Two fiscal quarter period commencing on January 1, 2025 and ending June 30, 2025</w:t>
            </w:r>
          </w:p>
        </w:tc>
        <w:tc>
          <w:tcPr>
            <w:tcW w:w="2500" w:type="dxa"/>
            <w:vAlign w:val="bottom"/>
            <w:tcBorders>
              <w:bottom w:val="single" w:sz="8" w:color="010101"/>
              <w:right w:val="single" w:sz="8" w:color="010101"/>
            </w:tcBorders>
          </w:tcPr>
          <w:p>
            <w:pPr>
              <w:jc w:val="right"/>
              <w:ind w:right="570"/>
              <w:spacing w:after="0"/>
              <w:rPr>
                <w:sz w:val="20"/>
                <w:szCs w:val="20"/>
                <w:color w:val="auto"/>
              </w:rPr>
            </w:pPr>
            <w:r>
              <w:rPr>
                <w:rFonts w:ascii="Times New Roman" w:cs="Times New Roman" w:eastAsia="Times New Roman" w:hAnsi="Times New Roman"/>
                <w:sz w:val="18"/>
                <w:szCs w:val="18"/>
                <w:color w:val="auto"/>
              </w:rPr>
              <w:t>1.20 to 1.00</w:t>
            </w:r>
          </w:p>
        </w:tc>
      </w:tr>
      <w:tr>
        <w:trPr>
          <w:trHeight w:val="191"/>
        </w:trPr>
        <w:tc>
          <w:tcPr>
            <w:tcW w:w="6480" w:type="dxa"/>
            <w:vAlign w:val="bottom"/>
            <w:tcBorders>
              <w:left w:val="single" w:sz="8" w:color="010101"/>
              <w:right w:val="single" w:sz="8" w:color="010101"/>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Three fiscal quarter period commencing on January 1, 2025 and ending September 30,</w:t>
            </w:r>
          </w:p>
        </w:tc>
        <w:tc>
          <w:tcPr>
            <w:tcW w:w="2500" w:type="dxa"/>
            <w:vAlign w:val="bottom"/>
            <w:tcBorders>
              <w:right w:val="single" w:sz="8" w:color="010101"/>
            </w:tcBorders>
          </w:tcPr>
          <w:p>
            <w:pPr>
              <w:jc w:val="right"/>
              <w:ind w:right="570"/>
              <w:spacing w:after="0" w:line="191" w:lineRule="exact"/>
              <w:rPr>
                <w:sz w:val="20"/>
                <w:szCs w:val="20"/>
                <w:color w:val="auto"/>
              </w:rPr>
            </w:pPr>
            <w:r>
              <w:rPr>
                <w:rFonts w:ascii="Times New Roman" w:cs="Times New Roman" w:eastAsia="Times New Roman" w:hAnsi="Times New Roman"/>
                <w:sz w:val="18"/>
                <w:szCs w:val="18"/>
                <w:color w:val="auto"/>
              </w:rPr>
              <w:t>1.20 to 1.00</w:t>
            </w:r>
          </w:p>
        </w:tc>
      </w:tr>
      <w:tr>
        <w:trPr>
          <w:trHeight w:val="234"/>
        </w:trPr>
        <w:tc>
          <w:tcPr>
            <w:tcW w:w="6480" w:type="dxa"/>
            <w:vAlign w:val="bottom"/>
            <w:tcBorders>
              <w:left w:val="single" w:sz="8" w:color="010101"/>
              <w:bottom w:val="single" w:sz="8" w:color="010101"/>
              <w:right w:val="single" w:sz="8" w:color="010101"/>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500" w:type="dxa"/>
            <w:vAlign w:val="bottom"/>
            <w:tcBorders>
              <w:bottom w:val="single" w:sz="8" w:color="010101"/>
              <w:right w:val="single" w:sz="8" w:color="010101"/>
            </w:tcBorders>
          </w:tcPr>
          <w:p>
            <w:pPr>
              <w:spacing w:after="0"/>
              <w:rPr>
                <w:sz w:val="20"/>
                <w:szCs w:val="20"/>
                <w:color w:val="auto"/>
              </w:rPr>
            </w:pPr>
          </w:p>
        </w:tc>
      </w:tr>
      <w:tr>
        <w:trPr>
          <w:trHeight w:val="191"/>
        </w:trPr>
        <w:tc>
          <w:tcPr>
            <w:tcW w:w="6480" w:type="dxa"/>
            <w:vAlign w:val="bottom"/>
            <w:tcBorders>
              <w:left w:val="single" w:sz="8" w:color="010101"/>
              <w:right w:val="single" w:sz="8" w:color="010101"/>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Four fiscal quarter period commencing on January 1, 2025 and ending December 31,</w:t>
            </w:r>
          </w:p>
        </w:tc>
        <w:tc>
          <w:tcPr>
            <w:tcW w:w="2500" w:type="dxa"/>
            <w:vAlign w:val="bottom"/>
            <w:tcBorders>
              <w:right w:val="single" w:sz="8" w:color="010101"/>
            </w:tcBorders>
          </w:tcPr>
          <w:p>
            <w:pPr>
              <w:jc w:val="right"/>
              <w:ind w:right="570"/>
              <w:spacing w:after="0" w:line="191" w:lineRule="exact"/>
              <w:rPr>
                <w:sz w:val="20"/>
                <w:szCs w:val="20"/>
                <w:color w:val="auto"/>
              </w:rPr>
            </w:pPr>
            <w:r>
              <w:rPr>
                <w:rFonts w:ascii="Times New Roman" w:cs="Times New Roman" w:eastAsia="Times New Roman" w:hAnsi="Times New Roman"/>
                <w:sz w:val="18"/>
                <w:szCs w:val="18"/>
                <w:color w:val="auto"/>
              </w:rPr>
              <w:t>1.20 to 1.00</w:t>
            </w:r>
          </w:p>
        </w:tc>
      </w:tr>
      <w:tr>
        <w:trPr>
          <w:trHeight w:val="234"/>
        </w:trPr>
        <w:tc>
          <w:tcPr>
            <w:tcW w:w="6480" w:type="dxa"/>
            <w:vAlign w:val="bottom"/>
            <w:tcBorders>
              <w:left w:val="single" w:sz="8" w:color="010101"/>
              <w:bottom w:val="single" w:sz="8" w:color="010101"/>
              <w:right w:val="single" w:sz="8" w:color="010101"/>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500" w:type="dxa"/>
            <w:vAlign w:val="bottom"/>
            <w:tcBorders>
              <w:bottom w:val="single" w:sz="8" w:color="010101"/>
              <w:right w:val="single" w:sz="8" w:color="010101"/>
            </w:tcBorders>
          </w:tcPr>
          <w:p>
            <w:pPr>
              <w:spacing w:after="0"/>
              <w:rPr>
                <w:sz w:val="20"/>
                <w:szCs w:val="20"/>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Notwithstanding the foregoing, from and after the Seventh Amendment Effective Date, the Loan Parties shall not be required to comply with the financial covenant set forth in this Section 7.11(b) but shall be required to provide a calculation of the Consolidated Fixed Charge Coverage Ratio on each Compliance Certificate delivered with respect to the end of each fiscal quarter pursuant to this Agreement.</w:t>
      </w:r>
    </w:p>
    <w:p>
      <w:pPr>
        <w:spacing w:after="0" w:line="39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1116" w:right="339" w:bottom="1440" w:gutter="0" w:footer="0" w:header="0"/>
        </w:sectPr>
      </w:pPr>
    </w:p>
    <w:bookmarkStart w:id="149" w:name="page150"/>
    <w:bookmarkEnd w:id="149"/>
    <w:p>
      <w:pPr>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Minimum Consolidated EBITDA. Permit the Consolidated EBITDA of the Borrower and its Restricted Subsidiaries as of the end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of the applicable period set forth below to be less than the amount set forth below opposite such period:  </w:t>
      </w:r>
    </w:p>
    <w:p>
      <w:pPr>
        <w:spacing w:after="0" w:line="160" w:lineRule="exact"/>
        <w:rPr>
          <w:sz w:val="20"/>
          <w:szCs w:val="20"/>
          <w:color w:val="auto"/>
        </w:rPr>
      </w:pPr>
    </w:p>
    <w:tbl>
      <w:tblPr>
        <w:tblLayout w:type="fixed"/>
        <w:tblInd w:w="1150" w:type="dxa"/>
        <w:tblCellMar>
          <w:top w:w="0" w:type="dxa"/>
          <w:left w:w="0" w:type="dxa"/>
          <w:bottom w:w="0" w:type="dxa"/>
          <w:right w:w="0" w:type="dxa"/>
        </w:tblCellMar>
      </w:tblPr>
      <w:tr>
        <w:trPr>
          <w:trHeight w:val="189"/>
        </w:trPr>
        <w:tc>
          <w:tcPr>
            <w:tcW w:w="6480" w:type="dxa"/>
            <w:vAlign w:val="bottom"/>
            <w:tcBorders>
              <w:top w:val="single" w:sz="8" w:color="010101"/>
              <w:left w:val="single" w:sz="8" w:color="010101"/>
              <w:right w:val="single" w:sz="8" w:color="010101"/>
            </w:tcBorders>
            <w:gridSpan w:val="9"/>
          </w:tcPr>
          <w:p>
            <w:pPr>
              <w:ind w:left="2980"/>
              <w:spacing w:after="0" w:line="189" w:lineRule="exact"/>
              <w:rPr>
                <w:sz w:val="20"/>
                <w:szCs w:val="20"/>
                <w:color w:val="auto"/>
              </w:rPr>
            </w:pPr>
            <w:r>
              <w:rPr>
                <w:rFonts w:ascii="Times New Roman" w:cs="Times New Roman" w:eastAsia="Times New Roman" w:hAnsi="Times New Roman"/>
                <w:sz w:val="18"/>
                <w:szCs w:val="18"/>
                <w:b w:val="1"/>
                <w:bCs w:val="1"/>
                <w:color w:val="0000FF"/>
              </w:rPr>
              <w:t>Period</w:t>
            </w:r>
          </w:p>
        </w:tc>
        <w:tc>
          <w:tcPr>
            <w:tcW w:w="740" w:type="dxa"/>
            <w:vAlign w:val="bottom"/>
            <w:tcBorders>
              <w:top w:val="single" w:sz="8" w:color="010101"/>
            </w:tcBorders>
          </w:tcPr>
          <w:p>
            <w:pPr>
              <w:spacing w:after="0"/>
              <w:rPr>
                <w:sz w:val="16"/>
                <w:szCs w:val="16"/>
                <w:color w:val="auto"/>
              </w:rPr>
            </w:pPr>
          </w:p>
        </w:tc>
        <w:tc>
          <w:tcPr>
            <w:tcW w:w="40" w:type="dxa"/>
            <w:vAlign w:val="bottom"/>
            <w:tcBorders>
              <w:top w:val="single" w:sz="8" w:color="010101"/>
            </w:tcBorders>
          </w:tcPr>
          <w:p>
            <w:pPr>
              <w:spacing w:after="0"/>
              <w:rPr>
                <w:sz w:val="16"/>
                <w:szCs w:val="16"/>
                <w:color w:val="auto"/>
              </w:rPr>
            </w:pPr>
          </w:p>
        </w:tc>
        <w:tc>
          <w:tcPr>
            <w:tcW w:w="60" w:type="dxa"/>
            <w:vAlign w:val="bottom"/>
            <w:tcBorders>
              <w:top w:val="single" w:sz="8" w:color="010101"/>
            </w:tcBorders>
          </w:tcPr>
          <w:p>
            <w:pPr>
              <w:spacing w:after="0"/>
              <w:rPr>
                <w:sz w:val="16"/>
                <w:szCs w:val="16"/>
                <w:color w:val="auto"/>
              </w:rPr>
            </w:pPr>
          </w:p>
        </w:tc>
        <w:tc>
          <w:tcPr>
            <w:tcW w:w="1660" w:type="dxa"/>
            <w:vAlign w:val="bottom"/>
            <w:tcBorders>
              <w:top w:val="single" w:sz="8" w:color="010101"/>
              <w:right w:val="single" w:sz="8" w:color="010101"/>
            </w:tcBorders>
            <w:gridSpan w:val="8"/>
          </w:tcPr>
          <w:p>
            <w:pPr>
              <w:jc w:val="center"/>
              <w:ind w:right="86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Minimum</w:t>
            </w:r>
          </w:p>
        </w:tc>
        <w:tc>
          <w:tcPr>
            <w:tcW w:w="0" w:type="dxa"/>
            <w:vAlign w:val="bottom"/>
          </w:tcPr>
          <w:p>
            <w:pPr>
              <w:spacing w:after="0"/>
              <w:rPr>
                <w:sz w:val="1"/>
                <w:szCs w:val="1"/>
                <w:color w:val="auto"/>
              </w:rPr>
            </w:pPr>
          </w:p>
        </w:tc>
      </w:tr>
      <w:tr>
        <w:trPr>
          <w:trHeight w:val="20"/>
        </w:trPr>
        <w:tc>
          <w:tcPr>
            <w:tcW w:w="2980" w:type="dxa"/>
            <w:vAlign w:val="bottom"/>
            <w:tcBorders>
              <w:left w:val="single" w:sz="8" w:color="010101"/>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Borders>
              <w:right w:val="single" w:sz="8" w:color="010101"/>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60" w:type="dxa"/>
            <w:vAlign w:val="bottom"/>
            <w:tcBorders>
              <w:right w:val="single" w:sz="8" w:color="010101"/>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tcBorders>
              <w:left w:val="single" w:sz="8" w:color="010101"/>
            </w:tcBorders>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Borders>
              <w:right w:val="single" w:sz="8" w:color="010101"/>
            </w:tcBorders>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Borders>
              <w:bottom w:val="single" w:sz="8" w:color="0000FF"/>
            </w:tcBorders>
            <w:vMerge w:val="continue"/>
          </w:tcPr>
          <w:p>
            <w:pPr>
              <w:spacing w:after="0"/>
              <w:rPr>
                <w:sz w:val="13"/>
                <w:szCs w:val="13"/>
                <w:color w:val="auto"/>
              </w:rPr>
            </w:pPr>
          </w:p>
        </w:tc>
        <w:tc>
          <w:tcPr>
            <w:tcW w:w="6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760" w:type="dxa"/>
            <w:vAlign w:val="bottom"/>
            <w:tcBorders>
              <w:bottom w:val="single" w:sz="8" w:color="0000FF"/>
            </w:tcBorders>
            <w:gridSpan w:val="3"/>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0000FF"/>
                <w:w w:val="75"/>
              </w:rPr>
              <w:t>Consolidated</w:t>
            </w:r>
          </w:p>
        </w:tc>
        <w:tc>
          <w:tcPr>
            <w:tcW w:w="20" w:type="dxa"/>
            <w:vAlign w:val="bottom"/>
            <w:tcBorders>
              <w:bottom w:val="single" w:sz="8" w:color="0000FF"/>
            </w:tcBorders>
            <w:vMerge w:val="continue"/>
          </w:tcPr>
          <w:p>
            <w:pPr>
              <w:spacing w:after="0"/>
              <w:rPr>
                <w:sz w:val="13"/>
                <w:szCs w:val="13"/>
                <w:color w:val="auto"/>
              </w:rPr>
            </w:pPr>
          </w:p>
        </w:tc>
        <w:tc>
          <w:tcPr>
            <w:tcW w:w="40" w:type="dxa"/>
            <w:vAlign w:val="bottom"/>
            <w:tcBorders>
              <w:bottom w:val="single" w:sz="8" w:color="0000FF"/>
            </w:tcBorders>
            <w:vMerge w:val="continue"/>
          </w:tcPr>
          <w:p>
            <w:pPr>
              <w:spacing w:after="0"/>
              <w:rPr>
                <w:sz w:val="13"/>
                <w:szCs w:val="13"/>
                <w:color w:val="auto"/>
              </w:rPr>
            </w:pPr>
          </w:p>
        </w:tc>
        <w:tc>
          <w:tcPr>
            <w:tcW w:w="60" w:type="dxa"/>
            <w:vAlign w:val="bottom"/>
            <w:tcBorders>
              <w:bottom w:val="single" w:sz="8" w:color="0000FF"/>
            </w:tcBorders>
            <w:vMerge w:val="continue"/>
          </w:tcPr>
          <w:p>
            <w:pPr>
              <w:spacing w:after="0"/>
              <w:rPr>
                <w:sz w:val="13"/>
                <w:szCs w:val="13"/>
                <w:color w:val="auto"/>
              </w:rPr>
            </w:pPr>
          </w:p>
        </w:tc>
        <w:tc>
          <w:tcPr>
            <w:tcW w:w="760" w:type="dxa"/>
            <w:vAlign w:val="bottom"/>
            <w:tcBorders>
              <w:right w:val="single" w:sz="8" w:color="010101"/>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80" w:type="dxa"/>
            <w:vAlign w:val="bottom"/>
            <w:tcBorders>
              <w:left w:val="single" w:sz="8" w:color="010101"/>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Borders>
              <w:right w:val="single" w:sz="8" w:color="010101"/>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760" w:type="dxa"/>
            <w:vAlign w:val="bottom"/>
            <w:tcBorders>
              <w:right w:val="single" w:sz="8" w:color="010101"/>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tcBorders>
              <w:left w:val="single" w:sz="8" w:color="010101"/>
            </w:tcBorders>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Borders>
              <w:right w:val="single" w:sz="8" w:color="010101"/>
            </w:tcBorders>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5"/>
          </w:tcPr>
          <w:p>
            <w:pPr>
              <w:jc w:val="center"/>
              <w:ind w:right="160"/>
              <w:spacing w:after="0" w:line="156" w:lineRule="exact"/>
              <w:rPr>
                <w:sz w:val="20"/>
                <w:szCs w:val="20"/>
                <w:color w:val="auto"/>
              </w:rPr>
            </w:pPr>
            <w:r>
              <w:rPr>
                <w:rFonts w:ascii="Times New Roman" w:cs="Times New Roman" w:eastAsia="Times New Roman" w:hAnsi="Times New Roman"/>
                <w:sz w:val="18"/>
                <w:szCs w:val="18"/>
                <w:b w:val="1"/>
                <w:bCs w:val="1"/>
                <w:color w:val="0000FF"/>
                <w:w w:val="98"/>
              </w:rPr>
              <w:t>EBITDA</w:t>
            </w:r>
          </w:p>
        </w:tc>
        <w:tc>
          <w:tcPr>
            <w:tcW w:w="760" w:type="dxa"/>
            <w:vAlign w:val="bottom"/>
            <w:tcBorders>
              <w:right w:val="single" w:sz="8" w:color="010101"/>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80" w:type="dxa"/>
            <w:vAlign w:val="bottom"/>
            <w:tcBorders>
              <w:left w:val="single" w:sz="8" w:color="010101"/>
              <w:bottom w:val="single" w:sz="8" w:color="010101"/>
            </w:tcBorders>
          </w:tcPr>
          <w:p>
            <w:pPr>
              <w:spacing w:after="0" w:line="20" w:lineRule="exact"/>
              <w:rPr>
                <w:sz w:val="1"/>
                <w:szCs w:val="1"/>
                <w:color w:val="auto"/>
              </w:rPr>
            </w:pPr>
          </w:p>
        </w:tc>
        <w:tc>
          <w:tcPr>
            <w:tcW w:w="42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8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280" w:type="dxa"/>
            <w:vAlign w:val="bottom"/>
            <w:tcBorders>
              <w:bottom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2540" w:type="dxa"/>
            <w:vAlign w:val="bottom"/>
            <w:tcBorders>
              <w:bottom w:val="single" w:sz="8" w:color="010101"/>
              <w:right w:val="single" w:sz="8" w:color="010101"/>
            </w:tcBorders>
          </w:tcPr>
          <w:p>
            <w:pPr>
              <w:spacing w:after="0" w:line="20" w:lineRule="exact"/>
              <w:rPr>
                <w:sz w:val="1"/>
                <w:szCs w:val="1"/>
                <w:color w:val="auto"/>
              </w:rPr>
            </w:pPr>
          </w:p>
        </w:tc>
        <w:tc>
          <w:tcPr>
            <w:tcW w:w="74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6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68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60" w:type="dxa"/>
            <w:vAlign w:val="bottom"/>
            <w:tcBorders>
              <w:bottom w:val="single" w:sz="8" w:color="010101"/>
            </w:tcBorders>
          </w:tcPr>
          <w:p>
            <w:pPr>
              <w:spacing w:after="0" w:line="20" w:lineRule="exact"/>
              <w:rPr>
                <w:sz w:val="1"/>
                <w:szCs w:val="1"/>
                <w:color w:val="auto"/>
              </w:rPr>
            </w:pPr>
          </w:p>
        </w:tc>
        <w:tc>
          <w:tcPr>
            <w:tcW w:w="76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80" w:type="dxa"/>
            <w:vAlign w:val="bottom"/>
            <w:tcBorders>
              <w:left w:val="single" w:sz="8" w:color="010101"/>
              <w:right w:val="single" w:sz="8" w:color="010101"/>
            </w:tcBorders>
            <w:gridSpan w:val="9"/>
          </w:tcPr>
          <w:p>
            <w:pPr>
              <w:ind w:left="20"/>
              <w:spacing w:after="0" w:line="170" w:lineRule="exact"/>
              <w:rPr>
                <w:sz w:val="20"/>
                <w:szCs w:val="20"/>
                <w:color w:val="auto"/>
              </w:rPr>
            </w:pPr>
            <w:r>
              <w:rPr>
                <w:rFonts w:ascii="Times New Roman" w:cs="Times New Roman" w:eastAsia="Times New Roman" w:hAnsi="Times New Roman"/>
                <w:sz w:val="18"/>
                <w:szCs w:val="18"/>
                <w:color w:val="0000FF"/>
              </w:rPr>
              <w:t>One fiscal quarter period ending March 31, 2026</w:t>
            </w:r>
          </w:p>
        </w:tc>
        <w:tc>
          <w:tcPr>
            <w:tcW w:w="1580" w:type="dxa"/>
            <w:vAlign w:val="bottom"/>
            <w:gridSpan w:val="6"/>
          </w:tcPr>
          <w:p>
            <w:pPr>
              <w:jc w:val="center"/>
              <w:ind w:left="810"/>
              <w:spacing w:after="0" w:line="170" w:lineRule="exact"/>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400,000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right w:val="single" w:sz="8" w:color="010101"/>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0000FF"/>
              <w:left w:val="single" w:sz="8" w:color="010101"/>
              <w:bottom w:val="single" w:sz="8" w:color="010101"/>
            </w:tcBorders>
          </w:tcPr>
          <w:p>
            <w:pPr>
              <w:spacing w:after="0" w:line="20" w:lineRule="exact"/>
              <w:rPr>
                <w:sz w:val="1"/>
                <w:szCs w:val="1"/>
                <w:color w:val="auto"/>
              </w:rPr>
            </w:pPr>
          </w:p>
        </w:tc>
        <w:tc>
          <w:tcPr>
            <w:tcW w:w="42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8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280" w:type="dxa"/>
            <w:vAlign w:val="bottom"/>
            <w:tcBorders>
              <w:bottom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2540" w:type="dxa"/>
            <w:vAlign w:val="bottom"/>
            <w:tcBorders>
              <w:bottom w:val="single" w:sz="8" w:color="010101"/>
              <w:right w:val="single" w:sz="8" w:color="010101"/>
            </w:tcBorders>
          </w:tcPr>
          <w:p>
            <w:pPr>
              <w:spacing w:after="0" w:line="20" w:lineRule="exact"/>
              <w:rPr>
                <w:sz w:val="1"/>
                <w:szCs w:val="1"/>
                <w:color w:val="auto"/>
              </w:rPr>
            </w:pPr>
          </w:p>
        </w:tc>
        <w:tc>
          <w:tcPr>
            <w:tcW w:w="74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6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68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60" w:type="dxa"/>
            <w:vAlign w:val="bottom"/>
            <w:tcBorders>
              <w:bottom w:val="single" w:sz="8" w:color="010101"/>
            </w:tcBorders>
          </w:tcPr>
          <w:p>
            <w:pPr>
              <w:spacing w:after="0" w:line="20" w:lineRule="exact"/>
              <w:rPr>
                <w:sz w:val="1"/>
                <w:szCs w:val="1"/>
                <w:color w:val="auto"/>
              </w:rPr>
            </w:pPr>
          </w:p>
        </w:tc>
        <w:tc>
          <w:tcPr>
            <w:tcW w:w="76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480" w:type="dxa"/>
            <w:vAlign w:val="bottom"/>
            <w:tcBorders>
              <w:left w:val="single" w:sz="8" w:color="010101"/>
              <w:right w:val="single" w:sz="8" w:color="010101"/>
            </w:tcBorders>
            <w:gridSpan w:val="9"/>
          </w:tcPr>
          <w:p>
            <w:pPr>
              <w:ind w:left="20"/>
              <w:spacing w:after="0" w:line="170" w:lineRule="exact"/>
              <w:rPr>
                <w:sz w:val="20"/>
                <w:szCs w:val="20"/>
                <w:color w:val="auto"/>
              </w:rPr>
            </w:pPr>
            <w:r>
              <w:rPr>
                <w:rFonts w:ascii="Times New Roman" w:cs="Times New Roman" w:eastAsia="Times New Roman" w:hAnsi="Times New Roman"/>
                <w:sz w:val="18"/>
                <w:szCs w:val="18"/>
                <w:color w:val="0000FF"/>
              </w:rPr>
              <w:t>Two fiscal quarter period ending June 30, 2026</w:t>
            </w:r>
          </w:p>
        </w:tc>
        <w:tc>
          <w:tcPr>
            <w:tcW w:w="1680" w:type="dxa"/>
            <w:vAlign w:val="bottom"/>
            <w:gridSpan w:val="9"/>
          </w:tcPr>
          <w:p>
            <w:pPr>
              <w:jc w:val="center"/>
              <w:ind w:left="710"/>
              <w:spacing w:after="0" w:line="170" w:lineRule="exact"/>
              <w:rPr>
                <w:sz w:val="20"/>
                <w:szCs w:val="20"/>
                <w:color w:val="auto"/>
              </w:rPr>
            </w:pPr>
            <w:r>
              <w:rPr>
                <w:rFonts w:ascii="Times New Roman" w:cs="Times New Roman" w:eastAsia="Times New Roman" w:hAnsi="Times New Roman"/>
                <w:sz w:val="18"/>
                <w:szCs w:val="18"/>
                <w:u w:val="single" w:color="auto"/>
                <w:color w:val="0000FF"/>
                <w:w w:val="98"/>
              </w:rPr>
              <w:t>$</w:t>
            </w:r>
            <w:r>
              <w:rPr>
                <w:rFonts w:ascii="Times New Roman" w:cs="Times New Roman" w:eastAsia="Times New Roman" w:hAnsi="Times New Roman"/>
                <w:sz w:val="18"/>
                <w:szCs w:val="18"/>
                <w:color w:val="0000FF"/>
                <w:w w:val="98"/>
              </w:rPr>
              <w:t>2,358,000</w:t>
            </w:r>
          </w:p>
        </w:tc>
        <w:tc>
          <w:tcPr>
            <w:tcW w:w="60" w:type="dxa"/>
            <w:vAlign w:val="bottom"/>
          </w:tcPr>
          <w:p>
            <w:pPr>
              <w:spacing w:after="0"/>
              <w:rPr>
                <w:sz w:val="14"/>
                <w:szCs w:val="14"/>
                <w:color w:val="auto"/>
              </w:rPr>
            </w:pPr>
          </w:p>
        </w:tc>
        <w:tc>
          <w:tcPr>
            <w:tcW w:w="760" w:type="dxa"/>
            <w:vAlign w:val="bottom"/>
            <w:tcBorders>
              <w:right w:val="single" w:sz="8" w:color="010101"/>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0000FF"/>
              <w:left w:val="single" w:sz="8" w:color="010101"/>
              <w:bottom w:val="single" w:sz="8" w:color="010101"/>
            </w:tcBorders>
          </w:tcPr>
          <w:p>
            <w:pPr>
              <w:spacing w:after="0" w:line="20" w:lineRule="exact"/>
              <w:rPr>
                <w:sz w:val="1"/>
                <w:szCs w:val="1"/>
                <w:color w:val="auto"/>
              </w:rPr>
            </w:pPr>
          </w:p>
        </w:tc>
        <w:tc>
          <w:tcPr>
            <w:tcW w:w="42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8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280" w:type="dxa"/>
            <w:vAlign w:val="bottom"/>
            <w:tcBorders>
              <w:bottom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2540" w:type="dxa"/>
            <w:vAlign w:val="bottom"/>
            <w:tcBorders>
              <w:bottom w:val="single" w:sz="8" w:color="010101"/>
              <w:right w:val="single" w:sz="8" w:color="010101"/>
            </w:tcBorders>
          </w:tcPr>
          <w:p>
            <w:pPr>
              <w:spacing w:after="0" w:line="20" w:lineRule="exact"/>
              <w:rPr>
                <w:sz w:val="1"/>
                <w:szCs w:val="1"/>
                <w:color w:val="auto"/>
              </w:rPr>
            </w:pPr>
          </w:p>
        </w:tc>
        <w:tc>
          <w:tcPr>
            <w:tcW w:w="74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60" w:type="dxa"/>
            <w:vAlign w:val="bottom"/>
            <w:tcBorders>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68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60" w:type="dxa"/>
            <w:vAlign w:val="bottom"/>
            <w:tcBorders>
              <w:bottom w:val="single" w:sz="8" w:color="010101"/>
            </w:tcBorders>
          </w:tcPr>
          <w:p>
            <w:pPr>
              <w:spacing w:after="0" w:line="20" w:lineRule="exact"/>
              <w:rPr>
                <w:sz w:val="1"/>
                <w:szCs w:val="1"/>
                <w:color w:val="auto"/>
              </w:rPr>
            </w:pPr>
          </w:p>
        </w:tc>
        <w:tc>
          <w:tcPr>
            <w:tcW w:w="76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80" w:type="dxa"/>
            <w:vAlign w:val="bottom"/>
            <w:tcBorders>
              <w:left w:val="single" w:sz="8" w:color="010101"/>
              <w:right w:val="single" w:sz="8" w:color="010101"/>
            </w:tcBorders>
            <w:gridSpan w:val="9"/>
          </w:tcPr>
          <w:p>
            <w:pPr>
              <w:ind w:left="20"/>
              <w:spacing w:after="0" w:line="170" w:lineRule="exact"/>
              <w:rPr>
                <w:sz w:val="20"/>
                <w:szCs w:val="20"/>
                <w:color w:val="auto"/>
              </w:rPr>
            </w:pPr>
            <w:r>
              <w:rPr>
                <w:rFonts w:ascii="Times New Roman" w:cs="Times New Roman" w:eastAsia="Times New Roman" w:hAnsi="Times New Roman"/>
                <w:sz w:val="18"/>
                <w:szCs w:val="18"/>
                <w:color w:val="0000FF"/>
              </w:rPr>
              <w:t>Three fiscal quarter period ending September 30, 2026</w:t>
            </w:r>
          </w:p>
        </w:tc>
        <w:tc>
          <w:tcPr>
            <w:tcW w:w="1680" w:type="dxa"/>
            <w:vAlign w:val="bottom"/>
            <w:gridSpan w:val="9"/>
          </w:tcPr>
          <w:p>
            <w:pPr>
              <w:jc w:val="center"/>
              <w:ind w:left="710"/>
              <w:spacing w:after="0" w:line="170" w:lineRule="exact"/>
              <w:rPr>
                <w:sz w:val="20"/>
                <w:szCs w:val="20"/>
                <w:color w:val="auto"/>
              </w:rPr>
            </w:pPr>
            <w:r>
              <w:rPr>
                <w:rFonts w:ascii="Times New Roman" w:cs="Times New Roman" w:eastAsia="Times New Roman" w:hAnsi="Times New Roman"/>
                <w:sz w:val="18"/>
                <w:szCs w:val="18"/>
                <w:u w:val="single" w:color="auto"/>
                <w:color w:val="0000FF"/>
                <w:w w:val="98"/>
              </w:rPr>
              <w:t>$</w:t>
            </w:r>
            <w:r>
              <w:rPr>
                <w:rFonts w:ascii="Times New Roman" w:cs="Times New Roman" w:eastAsia="Times New Roman" w:hAnsi="Times New Roman"/>
                <w:sz w:val="18"/>
                <w:szCs w:val="18"/>
                <w:color w:val="0000FF"/>
                <w:w w:val="98"/>
              </w:rPr>
              <w:t>7,581,000</w:t>
            </w:r>
          </w:p>
        </w:tc>
        <w:tc>
          <w:tcPr>
            <w:tcW w:w="60" w:type="dxa"/>
            <w:vAlign w:val="bottom"/>
          </w:tcPr>
          <w:p>
            <w:pPr>
              <w:spacing w:after="0"/>
              <w:rPr>
                <w:sz w:val="14"/>
                <w:szCs w:val="14"/>
                <w:color w:val="auto"/>
              </w:rPr>
            </w:pPr>
          </w:p>
        </w:tc>
        <w:tc>
          <w:tcPr>
            <w:tcW w:w="760" w:type="dxa"/>
            <w:vAlign w:val="bottom"/>
            <w:tcBorders>
              <w:right w:val="single" w:sz="8" w:color="010101"/>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0000FF"/>
              <w:left w:val="single" w:sz="8" w:color="010101"/>
              <w:bottom w:val="single" w:sz="8" w:color="010101"/>
            </w:tcBorders>
          </w:tcPr>
          <w:p>
            <w:pPr>
              <w:spacing w:after="0" w:line="20" w:lineRule="exact"/>
              <w:rPr>
                <w:sz w:val="1"/>
                <w:szCs w:val="1"/>
                <w:color w:val="auto"/>
              </w:rPr>
            </w:pPr>
          </w:p>
        </w:tc>
        <w:tc>
          <w:tcPr>
            <w:tcW w:w="42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8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280" w:type="dxa"/>
            <w:vAlign w:val="bottom"/>
            <w:tcBorders>
              <w:top w:val="single" w:sz="8" w:color="0000FF"/>
              <w:bottom w:val="single" w:sz="8" w:color="010101"/>
            </w:tcBorders>
          </w:tcPr>
          <w:p>
            <w:pPr>
              <w:spacing w:after="0" w:line="20" w:lineRule="exact"/>
              <w:rPr>
                <w:sz w:val="1"/>
                <w:szCs w:val="1"/>
                <w:color w:val="auto"/>
              </w:rPr>
            </w:pPr>
          </w:p>
        </w:tc>
        <w:tc>
          <w:tcPr>
            <w:tcW w:w="100" w:type="dxa"/>
            <w:vAlign w:val="bottom"/>
            <w:tcBorders>
              <w:top w:val="single" w:sz="8" w:color="0000FF"/>
              <w:bottom w:val="single" w:sz="8" w:color="010101"/>
            </w:tcBorders>
          </w:tcPr>
          <w:p>
            <w:pPr>
              <w:spacing w:after="0" w:line="20" w:lineRule="exact"/>
              <w:rPr>
                <w:sz w:val="1"/>
                <w:szCs w:val="1"/>
                <w:color w:val="auto"/>
              </w:rPr>
            </w:pPr>
          </w:p>
        </w:tc>
        <w:tc>
          <w:tcPr>
            <w:tcW w:w="2540" w:type="dxa"/>
            <w:vAlign w:val="bottom"/>
            <w:tcBorders>
              <w:bottom w:val="single" w:sz="8" w:color="010101"/>
              <w:right w:val="single" w:sz="8" w:color="010101"/>
            </w:tcBorders>
          </w:tcPr>
          <w:p>
            <w:pPr>
              <w:spacing w:after="0" w:line="20" w:lineRule="exact"/>
              <w:rPr>
                <w:sz w:val="1"/>
                <w:szCs w:val="1"/>
                <w:color w:val="auto"/>
              </w:rPr>
            </w:pPr>
          </w:p>
        </w:tc>
        <w:tc>
          <w:tcPr>
            <w:tcW w:w="74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60" w:type="dxa"/>
            <w:vAlign w:val="bottom"/>
            <w:tcBorders>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68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60" w:type="dxa"/>
            <w:vAlign w:val="bottom"/>
            <w:tcBorders>
              <w:bottom w:val="single" w:sz="8" w:color="010101"/>
            </w:tcBorders>
          </w:tcPr>
          <w:p>
            <w:pPr>
              <w:spacing w:after="0" w:line="20" w:lineRule="exact"/>
              <w:rPr>
                <w:sz w:val="1"/>
                <w:szCs w:val="1"/>
                <w:color w:val="auto"/>
              </w:rPr>
            </w:pPr>
          </w:p>
        </w:tc>
        <w:tc>
          <w:tcPr>
            <w:tcW w:w="76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480" w:type="dxa"/>
            <w:vAlign w:val="bottom"/>
            <w:tcBorders>
              <w:left w:val="single" w:sz="8" w:color="010101"/>
              <w:right w:val="single" w:sz="8" w:color="010101"/>
            </w:tcBorders>
            <w:gridSpan w:val="9"/>
          </w:tcPr>
          <w:p>
            <w:pPr>
              <w:ind w:left="20"/>
              <w:spacing w:after="0" w:line="170" w:lineRule="exact"/>
              <w:rPr>
                <w:sz w:val="20"/>
                <w:szCs w:val="20"/>
                <w:color w:val="auto"/>
              </w:rPr>
            </w:pPr>
            <w:r>
              <w:rPr>
                <w:rFonts w:ascii="Times New Roman" w:cs="Times New Roman" w:eastAsia="Times New Roman" w:hAnsi="Times New Roman"/>
                <w:sz w:val="18"/>
                <w:szCs w:val="18"/>
                <w:color w:val="0000FF"/>
              </w:rPr>
              <w:t>Four fiscal quarter period ending December 31, 2026</w:t>
            </w:r>
          </w:p>
        </w:tc>
        <w:tc>
          <w:tcPr>
            <w:tcW w:w="1740" w:type="dxa"/>
            <w:vAlign w:val="bottom"/>
            <w:gridSpan w:val="10"/>
          </w:tcPr>
          <w:p>
            <w:pPr>
              <w:jc w:val="center"/>
              <w:ind w:left="630"/>
              <w:spacing w:after="0" w:line="170"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14,740,000</w:t>
            </w:r>
          </w:p>
        </w:tc>
        <w:tc>
          <w:tcPr>
            <w:tcW w:w="760" w:type="dxa"/>
            <w:vAlign w:val="bottom"/>
            <w:tcBorders>
              <w:right w:val="single" w:sz="8" w:color="010101"/>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0000FF"/>
              <w:left w:val="single" w:sz="8" w:color="010101"/>
              <w:bottom w:val="single" w:sz="8" w:color="010101"/>
            </w:tcBorders>
          </w:tcPr>
          <w:p>
            <w:pPr>
              <w:spacing w:after="0" w:line="20" w:lineRule="exact"/>
              <w:rPr>
                <w:sz w:val="1"/>
                <w:szCs w:val="1"/>
                <w:color w:val="auto"/>
              </w:rPr>
            </w:pPr>
          </w:p>
        </w:tc>
        <w:tc>
          <w:tcPr>
            <w:tcW w:w="42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8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280" w:type="dxa"/>
            <w:vAlign w:val="bottom"/>
            <w:tcBorders>
              <w:top w:val="single" w:sz="8" w:color="0000FF"/>
              <w:bottom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2540" w:type="dxa"/>
            <w:vAlign w:val="bottom"/>
            <w:tcBorders>
              <w:bottom w:val="single" w:sz="8" w:color="010101"/>
              <w:right w:val="single" w:sz="8" w:color="010101"/>
            </w:tcBorders>
          </w:tcPr>
          <w:p>
            <w:pPr>
              <w:spacing w:after="0" w:line="20" w:lineRule="exact"/>
              <w:rPr>
                <w:sz w:val="1"/>
                <w:szCs w:val="1"/>
                <w:color w:val="auto"/>
              </w:rPr>
            </w:pPr>
          </w:p>
        </w:tc>
        <w:tc>
          <w:tcPr>
            <w:tcW w:w="74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6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68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60" w:type="dxa"/>
            <w:vAlign w:val="bottom"/>
            <w:tcBorders>
              <w:bottom w:val="single" w:sz="8" w:color="010101"/>
            </w:tcBorders>
          </w:tcPr>
          <w:p>
            <w:pPr>
              <w:spacing w:after="0" w:line="20" w:lineRule="exact"/>
              <w:rPr>
                <w:sz w:val="1"/>
                <w:szCs w:val="1"/>
                <w:color w:val="auto"/>
              </w:rPr>
            </w:pPr>
          </w:p>
        </w:tc>
        <w:tc>
          <w:tcPr>
            <w:tcW w:w="76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80" w:type="dxa"/>
            <w:vAlign w:val="bottom"/>
            <w:tcBorders>
              <w:left w:val="single" w:sz="8" w:color="010101"/>
              <w:right w:val="single" w:sz="8" w:color="010101"/>
            </w:tcBorders>
            <w:gridSpan w:val="9"/>
          </w:tcPr>
          <w:p>
            <w:pPr>
              <w:ind w:left="20"/>
              <w:spacing w:after="0" w:line="170" w:lineRule="exact"/>
              <w:rPr>
                <w:sz w:val="20"/>
                <w:szCs w:val="20"/>
                <w:color w:val="auto"/>
              </w:rPr>
            </w:pPr>
            <w:r>
              <w:rPr>
                <w:rFonts w:ascii="Times New Roman" w:cs="Times New Roman" w:eastAsia="Times New Roman" w:hAnsi="Times New Roman"/>
                <w:sz w:val="18"/>
                <w:szCs w:val="18"/>
                <w:color w:val="0000FF"/>
              </w:rPr>
              <w:t>Four fiscal quarter period ending March 31, 2027</w:t>
            </w:r>
          </w:p>
        </w:tc>
        <w:tc>
          <w:tcPr>
            <w:tcW w:w="1740" w:type="dxa"/>
            <w:vAlign w:val="bottom"/>
            <w:gridSpan w:val="10"/>
          </w:tcPr>
          <w:p>
            <w:pPr>
              <w:jc w:val="center"/>
              <w:ind w:left="630"/>
              <w:spacing w:after="0" w:line="170"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19,164,000</w:t>
            </w:r>
          </w:p>
        </w:tc>
        <w:tc>
          <w:tcPr>
            <w:tcW w:w="760" w:type="dxa"/>
            <w:vAlign w:val="bottom"/>
            <w:tcBorders>
              <w:right w:val="single" w:sz="8" w:color="010101"/>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0000FF"/>
              <w:left w:val="single" w:sz="8" w:color="010101"/>
              <w:bottom w:val="single" w:sz="8" w:color="010101"/>
            </w:tcBorders>
          </w:tcPr>
          <w:p>
            <w:pPr>
              <w:spacing w:after="0" w:line="20" w:lineRule="exact"/>
              <w:rPr>
                <w:sz w:val="1"/>
                <w:szCs w:val="1"/>
                <w:color w:val="auto"/>
              </w:rPr>
            </w:pPr>
          </w:p>
        </w:tc>
        <w:tc>
          <w:tcPr>
            <w:tcW w:w="42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8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280" w:type="dxa"/>
            <w:vAlign w:val="bottom"/>
            <w:tcBorders>
              <w:bottom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2540" w:type="dxa"/>
            <w:vAlign w:val="bottom"/>
            <w:tcBorders>
              <w:bottom w:val="single" w:sz="8" w:color="010101"/>
              <w:right w:val="single" w:sz="8" w:color="010101"/>
            </w:tcBorders>
          </w:tcPr>
          <w:p>
            <w:pPr>
              <w:spacing w:after="0" w:line="20" w:lineRule="exact"/>
              <w:rPr>
                <w:sz w:val="1"/>
                <w:szCs w:val="1"/>
                <w:color w:val="auto"/>
              </w:rPr>
            </w:pPr>
          </w:p>
        </w:tc>
        <w:tc>
          <w:tcPr>
            <w:tcW w:w="74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6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68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60" w:type="dxa"/>
            <w:vAlign w:val="bottom"/>
            <w:tcBorders>
              <w:bottom w:val="single" w:sz="8" w:color="010101"/>
            </w:tcBorders>
          </w:tcPr>
          <w:p>
            <w:pPr>
              <w:spacing w:after="0" w:line="20" w:lineRule="exact"/>
              <w:rPr>
                <w:sz w:val="1"/>
                <w:szCs w:val="1"/>
                <w:color w:val="auto"/>
              </w:rPr>
            </w:pPr>
          </w:p>
        </w:tc>
        <w:tc>
          <w:tcPr>
            <w:tcW w:w="76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80" w:type="dxa"/>
            <w:vAlign w:val="bottom"/>
            <w:tcBorders>
              <w:left w:val="single" w:sz="8" w:color="010101"/>
              <w:right w:val="single" w:sz="8" w:color="010101"/>
            </w:tcBorders>
            <w:gridSpan w:val="9"/>
          </w:tcPr>
          <w:p>
            <w:pPr>
              <w:ind w:left="20"/>
              <w:spacing w:after="0" w:line="170" w:lineRule="exact"/>
              <w:rPr>
                <w:sz w:val="20"/>
                <w:szCs w:val="20"/>
                <w:color w:val="auto"/>
              </w:rPr>
            </w:pPr>
            <w:r>
              <w:rPr>
                <w:rFonts w:ascii="Times New Roman" w:cs="Times New Roman" w:eastAsia="Times New Roman" w:hAnsi="Times New Roman"/>
                <w:sz w:val="18"/>
                <w:szCs w:val="18"/>
                <w:color w:val="0000FF"/>
              </w:rPr>
              <w:t>Four fiscal quarter period ending June 30, 2027</w:t>
            </w:r>
          </w:p>
        </w:tc>
        <w:tc>
          <w:tcPr>
            <w:tcW w:w="1740" w:type="dxa"/>
            <w:vAlign w:val="bottom"/>
            <w:gridSpan w:val="10"/>
          </w:tcPr>
          <w:p>
            <w:pPr>
              <w:jc w:val="center"/>
              <w:ind w:left="630"/>
              <w:spacing w:after="0" w:line="170" w:lineRule="exact"/>
              <w:rPr>
                <w:sz w:val="20"/>
                <w:szCs w:val="20"/>
                <w:color w:val="auto"/>
              </w:rPr>
            </w:pP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22,327,000</w:t>
            </w:r>
          </w:p>
        </w:tc>
        <w:tc>
          <w:tcPr>
            <w:tcW w:w="760" w:type="dxa"/>
            <w:vAlign w:val="bottom"/>
            <w:tcBorders>
              <w:right w:val="single" w:sz="8" w:color="010101"/>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0000FF"/>
              <w:left w:val="single" w:sz="8" w:color="010101"/>
              <w:bottom w:val="single" w:sz="8" w:color="010101"/>
            </w:tcBorders>
          </w:tcPr>
          <w:p>
            <w:pPr>
              <w:spacing w:after="0" w:line="20" w:lineRule="exact"/>
              <w:rPr>
                <w:sz w:val="1"/>
                <w:szCs w:val="1"/>
                <w:color w:val="auto"/>
              </w:rPr>
            </w:pPr>
          </w:p>
        </w:tc>
        <w:tc>
          <w:tcPr>
            <w:tcW w:w="42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80" w:type="dxa"/>
            <w:vAlign w:val="bottom"/>
            <w:tcBorders>
              <w:bottom w:val="single" w:sz="8" w:color="010101"/>
            </w:tcBorders>
          </w:tcPr>
          <w:p>
            <w:pPr>
              <w:spacing w:after="0" w:line="20" w:lineRule="exact"/>
              <w:rPr>
                <w:sz w:val="1"/>
                <w:szCs w:val="1"/>
                <w:color w:val="auto"/>
              </w:rPr>
            </w:pPr>
          </w:p>
        </w:tc>
        <w:tc>
          <w:tcPr>
            <w:tcW w:w="2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280" w:type="dxa"/>
            <w:vAlign w:val="bottom"/>
            <w:tcBorders>
              <w:bottom w:val="single" w:sz="8" w:color="010101"/>
            </w:tcBorders>
          </w:tcPr>
          <w:p>
            <w:pPr>
              <w:spacing w:after="0" w:line="20" w:lineRule="exact"/>
              <w:rPr>
                <w:sz w:val="1"/>
                <w:szCs w:val="1"/>
                <w:color w:val="auto"/>
              </w:rPr>
            </w:pPr>
          </w:p>
        </w:tc>
        <w:tc>
          <w:tcPr>
            <w:tcW w:w="100" w:type="dxa"/>
            <w:vAlign w:val="bottom"/>
            <w:tcBorders>
              <w:bottom w:val="single" w:sz="8" w:color="010101"/>
            </w:tcBorders>
          </w:tcPr>
          <w:p>
            <w:pPr>
              <w:spacing w:after="0" w:line="20" w:lineRule="exact"/>
              <w:rPr>
                <w:sz w:val="1"/>
                <w:szCs w:val="1"/>
                <w:color w:val="auto"/>
              </w:rPr>
            </w:pPr>
          </w:p>
        </w:tc>
        <w:tc>
          <w:tcPr>
            <w:tcW w:w="2540" w:type="dxa"/>
            <w:vAlign w:val="bottom"/>
            <w:tcBorders>
              <w:bottom w:val="single" w:sz="8" w:color="010101"/>
              <w:right w:val="single" w:sz="8" w:color="010101"/>
            </w:tcBorders>
          </w:tcPr>
          <w:p>
            <w:pPr>
              <w:spacing w:after="0" w:line="20" w:lineRule="exact"/>
              <w:rPr>
                <w:sz w:val="1"/>
                <w:szCs w:val="1"/>
                <w:color w:val="auto"/>
              </w:rPr>
            </w:pPr>
          </w:p>
        </w:tc>
        <w:tc>
          <w:tcPr>
            <w:tcW w:w="74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6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68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2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top w:val="single" w:sz="8" w:color="0000FF"/>
              <w:bottom w:val="single" w:sz="8" w:color="010101"/>
            </w:tcBorders>
          </w:tcPr>
          <w:p>
            <w:pPr>
              <w:spacing w:after="0" w:line="20" w:lineRule="exact"/>
              <w:rPr>
                <w:sz w:val="1"/>
                <w:szCs w:val="1"/>
                <w:color w:val="auto"/>
              </w:rPr>
            </w:pPr>
          </w:p>
        </w:tc>
        <w:tc>
          <w:tcPr>
            <w:tcW w:w="60" w:type="dxa"/>
            <w:vAlign w:val="bottom"/>
            <w:tcBorders>
              <w:bottom w:val="single" w:sz="8" w:color="010101"/>
            </w:tcBorders>
          </w:tcPr>
          <w:p>
            <w:pPr>
              <w:spacing w:after="0" w:line="20" w:lineRule="exact"/>
              <w:rPr>
                <w:sz w:val="1"/>
                <w:szCs w:val="1"/>
                <w:color w:val="auto"/>
              </w:rPr>
            </w:pPr>
          </w:p>
        </w:tc>
        <w:tc>
          <w:tcPr>
            <w:tcW w:w="760" w:type="dxa"/>
            <w:vAlign w:val="bottom"/>
            <w:tcBorders>
              <w:bottom w:val="single" w:sz="8" w:color="010101"/>
              <w:right w:val="single" w:sz="8" w:color="01010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(d)</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Minimum Liquidity. Permit Liquidity to be less than $6,000,000 for any period of five (5) consecutive Business Days.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7.12.</w:t>
      </w:r>
      <w:r>
        <w:rPr>
          <w:sz w:val="20"/>
          <w:szCs w:val="20"/>
          <w:color w:val="auto"/>
        </w:rPr>
        <w:tab/>
      </w:r>
      <w:r>
        <w:rPr>
          <w:rFonts w:ascii="Times New Roman" w:cs="Times New Roman" w:eastAsia="Times New Roman" w:hAnsi="Times New Roman"/>
          <w:sz w:val="17"/>
          <w:szCs w:val="17"/>
          <w:color w:val="auto"/>
        </w:rPr>
        <w:t>Sanctions.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the subject of Sanctions, or in any other manner that will result in a violation by any Person of Sanctions.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7.13.</w:t>
      </w:r>
      <w:r>
        <w:rPr>
          <w:sz w:val="20"/>
          <w:szCs w:val="20"/>
          <w:color w:val="auto"/>
        </w:rPr>
        <w:tab/>
      </w:r>
      <w:r>
        <w:rPr>
          <w:rFonts w:ascii="Times New Roman" w:cs="Times New Roman" w:eastAsia="Times New Roman" w:hAnsi="Times New Roman"/>
          <w:sz w:val="18"/>
          <w:szCs w:val="18"/>
          <w:color w:val="auto"/>
        </w:rPr>
        <w:t>Anti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Corruption Laws.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Directly or indirectly, use any Credit Extension or the proceeds of any Credit Extension for any purpose which would breach the United States Foreign Corrupt Practices Act of 1977, the UK Bribery Act 2010 and other similar anti-corruption legislation in other jurisdictions.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7.14.</w:t>
      </w:r>
      <w:r>
        <w:rPr>
          <w:sz w:val="20"/>
          <w:szCs w:val="20"/>
          <w:color w:val="auto"/>
        </w:rPr>
        <w:tab/>
      </w:r>
      <w:r>
        <w:rPr>
          <w:rFonts w:ascii="Times New Roman" w:cs="Times New Roman" w:eastAsia="Times New Roman" w:hAnsi="Times New Roman"/>
          <w:sz w:val="18"/>
          <w:szCs w:val="18"/>
          <w:color w:val="auto"/>
        </w:rPr>
        <w:t>Negative Pledge on Owned Real Property.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Except for Liens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transactions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Borrower shall not permit any party to sell, transfer, assign, mortgage, pledge, lease, grant a security interest in or otherwise encumber any real property owned by any U.S. Loan Party to an unaffiliated third party without the prior written consent of the Administrative Agent.</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0000FF"/>
        </w:rPr>
        <w:t>7.15.</w:t>
      </w:r>
      <w:r>
        <w:rPr>
          <w:sz w:val="20"/>
          <w:szCs w:val="20"/>
          <w:color w:val="auto"/>
        </w:rPr>
        <w:tab/>
      </w:r>
      <w:r>
        <w:rPr>
          <w:rFonts w:ascii="Times New Roman" w:cs="Times New Roman" w:eastAsia="Times New Roman" w:hAnsi="Times New Roman"/>
          <w:sz w:val="18"/>
          <w:szCs w:val="18"/>
          <w:u w:val="single" w:color="auto"/>
          <w:color w:val="0000FF"/>
        </w:rPr>
        <w:t>Outbound Investment Rule.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0000FF"/>
        </w:rPr>
        <w:t>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u w:val="single" w:color="auto"/>
          <w:color w:val="auto"/>
        </w:rPr>
        <w:t>EVENTS OF DEFAULT AND REMEDIES</w:t>
      </w:r>
    </w:p>
    <w:p>
      <w:pPr>
        <w:spacing w:after="0" w:line="22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8.01.</w:t>
      </w:r>
      <w:r>
        <w:rPr>
          <w:sz w:val="20"/>
          <w:szCs w:val="20"/>
          <w:color w:val="auto"/>
        </w:rPr>
        <w:tab/>
      </w:r>
      <w:r>
        <w:rPr>
          <w:rFonts w:ascii="Times New Roman" w:cs="Times New Roman" w:eastAsia="Times New Roman" w:hAnsi="Times New Roman"/>
          <w:sz w:val="18"/>
          <w:szCs w:val="18"/>
          <w:color w:val="auto"/>
        </w:rPr>
        <w:t>Events of Default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case of the happening of any of the following events first occurring on or after the Closing Date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any representation or warranty made or deemed made by any Loan Party to any Lender, the Administrative Agent or the Administrative Agent in or in connection with any Loan Document, or any representation, warranty made or deemed to be made in any report, certificate, financial statement or other instrument required to be delivered by any Loan Document, shall prove to have been false or misleading in any material respect when so made, deemed made or furnished;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default shall be made in the payment of any principal of any Loan or any L/C Obligation or deposit any funds as Cash Collateral in respect of L/C Obligations when and as the same shall become due and payable, whether at the due date thereof or at a date fixed for prepayment thereof or by acceleration thereof or otherwise;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default shall be made in the payment of any interest on any Loan or on any L/C Obligation or any fee or any other amount (other than an amount referred to in (b) above) due and payable under any Loan Document, when and as the same shall become due and payable, and such default shall continue unremedied for a period of five Business Days;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default shall be made in the due observance or performance by the Borrower or any Restricted Subsidiary of any covenant, condition or agreement contained in (i)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6.17</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(excluding Section 7.11(d)),</w:t>
      </w:r>
      <w:r>
        <w:rPr>
          <w:rFonts w:ascii="Times New Roman" w:cs="Times New Roman" w:eastAsia="Times New Roman" w:hAnsi="Times New Roman"/>
          <w:sz w:val="18"/>
          <w:szCs w:val="18"/>
          <w:color w:val="auto"/>
        </w:rPr>
        <w:t xml:space="preserve"> or (ii) </w:t>
      </w:r>
      <w:r>
        <w:rPr>
          <w:rFonts w:ascii="Times New Roman" w:cs="Times New Roman" w:eastAsia="Times New Roman" w:hAnsi="Times New Roman"/>
          <w:sz w:val="18"/>
          <w:szCs w:val="18"/>
          <w:u w:val="single" w:color="auto"/>
          <w:color w:val="auto"/>
        </w:rPr>
        <w:t>Sections 6.04(a)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such default shall continue unremedied for a period of five (5) days;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default shall be made in the due observance or performance by the Borrower or any Restricted Subsidiary of any covenant, condition or agreement contained in any Loan Document (other than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those specified in (b), (c) or (d) above</w:t>
      </w:r>
      <w:r>
        <w:rPr>
          <w:rFonts w:ascii="Times New Roman" w:cs="Times New Roman" w:eastAsia="Times New Roman" w:hAnsi="Times New Roman"/>
          <w:sz w:val="18"/>
          <w:szCs w:val="18"/>
          <w:u w:val="single" w:color="auto"/>
          <w:color w:val="0000FF"/>
        </w:rPr>
        <w:t>, and (ii) any covenant contained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Section 7.11(d)</w:t>
      </w:r>
      <w:r>
        <w:rPr>
          <w:rFonts w:ascii="Times New Roman" w:cs="Times New Roman" w:eastAsia="Times New Roman" w:hAnsi="Times New Roman"/>
          <w:sz w:val="18"/>
          <w:szCs w:val="18"/>
          <w:color w:val="000000"/>
        </w:rPr>
        <w:t>) and such default shall continue unremedied for a period of thirty (30) days after notice thereof from the Administrative Agent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Lender to the Borrower;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            the Borrower or any Restricted Subsidiary (i) shall fail to pay any principal or interest due in respect of any Material Indebtedness, when and as the same shall become due and payable or (ii) default in the observance or performance of any other agreement or condition relating to any Material Indebtedness or contained in any instrument or agreement evidencing, securing or relating thereto, or any other event shall occur or condition exist, the effect of which default or other event or condition is to cause, or to permit the holder or beneficiary of such Material Indebtedness (or a trustee or agent on behalf of such holder or beneficiary) to cause, with the giving of notice if required, such Material Indebtedness to become due, or to require the prepayment, repurchase, redemption or defeasance thereof, prior to its scheduled maturity;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(x) clause (ii) of this clause (f) shall not apply to secured Indebtedness that becomes due as a result of the voluntary sale or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property or assets securing such Indebtedness, and (y) this clause (f) shall not apply to Material Indebtedness in respect of purchase money or vendor financing if such failure is a result of a good faith dispute with the holders of such Indebtedness and such failure is remedied or waived by the holders of such Indebtedness;</w:t>
      </w:r>
    </w:p>
    <w:p>
      <w:pPr>
        <w:spacing w:after="0" w:line="200" w:lineRule="exact"/>
        <w:rPr>
          <w:sz w:val="20"/>
          <w:szCs w:val="20"/>
          <w:color w:val="auto"/>
        </w:rPr>
      </w:pPr>
    </w:p>
    <w:p>
      <w:pPr>
        <w:spacing w:after="0" w:line="2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51" w:name="page152"/>
    <w:bookmarkEnd w:id="151"/>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(g)           one or more unstayed judgments shall be rendered against the Borrower, any Restricted Subsidiary or any combination thereof for a liability (not partially or fully covered by insurance or effective indemnity) and the same shall remain undischarged for a period of 30 consecutive days during which execution shall not be effectively stayed, or any action shall be legally taken by a judgment creditor to levy upon assets or properties of the Borrower or any Restricted Subsidiary to enforce any such judgment and such judgment either (i) is for the payment of money in an aggregate amount in excess of $7,500,000 (to the extent not adequately covered by insurance (less any deductible) in respect of which a solvent, unaffiliated and reputable insurance company has not denied coverage in writing), or (ii) is for injunctive relief and would reasonably be expected to result in a Material Adverse Effect;</w:t>
      </w:r>
    </w:p>
    <w:p>
      <w:pPr>
        <w:spacing w:after="0" w:line="189"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(h)           any Guarantee for any reason shall cease to be in full force and effect (other than in accordance with its terms), or any Guarantor shall deny in writing that it has any further liability under the Guaranty (other than as a result of the discharge of such Guarantor in accordance with the terms of the Loan Documents);</w:t>
      </w:r>
    </w:p>
    <w:p>
      <w:pPr>
        <w:spacing w:after="0" w:line="176"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(i)            at any time (i) the Security Agreement with respect to any Guarantor for any reason, other than the satisfaction in full of all Obligations, shall cease to be in full force and effect (other than in accordance with its terms) or shall be declared to be null and void or any Guarantor shall repudiate its obligations thereunder, (ii) this Agreement, any Collateral Document or any other Loan Document ceases to be in full force and effect (other than by reason of the satisfaction in full of the Obligations in accordance with the terms hereof) or shall be declared null and void, or the Administrative Agent shall not have or shall cease to have a valid and perfected Lien in any Collateral purported to be covered by the Collateral Documents, or (iii) any Loan Party shall contest the validity or enforceability of any Loan Document, or the Liens and claim priorities provided for in the Loan Documents, in writing or deny in writing that it has any further liability, including with respect to future advances by Lenders, under any Loan Document;</w:t>
      </w:r>
    </w:p>
    <w:p>
      <w:pPr>
        <w:spacing w:after="0" w:line="19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7"/>
          <w:szCs w:val="17"/>
          <w:color w:val="auto"/>
        </w:rPr>
        <w:t>(j)           an involuntary proceeding shall be commenced or an involuntary petition shall be filed in a court of competent jurisdiction seeking</w:t>
      </w:r>
    </w:p>
    <w:p>
      <w:pPr>
        <w:spacing w:after="0" w:line="39" w:lineRule="exact"/>
        <w:rPr>
          <w:sz w:val="20"/>
          <w:szCs w:val="20"/>
          <w:color w:val="auto"/>
        </w:rPr>
      </w:pPr>
    </w:p>
    <w:p>
      <w:pPr>
        <w:jc w:val="both"/>
        <w:ind w:left="4" w:hanging="4"/>
        <w:spacing w:after="0" w:line="251" w:lineRule="auto"/>
        <w:tabs>
          <w:tab w:leader="none" w:pos="22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the Borrower, any Material Subsidiary that is a Restricted Subsidiary, or of a substantial part of the property or assets of the Borrower, any Material Subsidiary that is a Restricted Subsidiary, under the Bankruptcy Code, or any other Federal, state or foreign bankruptcy, insolvency, receivership or similar law, (ii) the appointment of a receiver, trustee, custodian, sequestrator, conservator or similar official for the Borrower, any Material Subsidiary that is a Restricted Subsidiary or for a substantial part of the property or assets of the Borrower, any Material Subsidiary that is a Restricted Subsidiary, or (iii) the winding-up or liquidation of the Borrower, any Material Subsidiary that is a Restricted Subsidiary; and in each case such proceeding or petition shall continue uncontroverted within 30 days after commencement of the case or undismissed, unbonded or undischarged for 60 days after commencement of the case or an order or decree approving or ordering any of the foregoing shall be entered;</w:t>
      </w:r>
    </w:p>
    <w:p>
      <w:pPr>
        <w:spacing w:after="0" w:line="200" w:lineRule="exact"/>
        <w:rPr>
          <w:sz w:val="20"/>
          <w:szCs w:val="20"/>
          <w:color w:val="auto"/>
        </w:rPr>
      </w:pPr>
    </w:p>
    <w:p>
      <w:pPr>
        <w:spacing w:after="0" w:line="210"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2" w:name="page153"/>
    <w:bookmarkEnd w:id="152"/>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(k)           the Borrower, any Material Subsidiary that is a Restricted Subsidiary shall (i) voluntarily commence any proceeding or file any petition seeking relief under the Bankruptcy Code, or any other Federal, state or foreign bankruptcy, insolvency, receivership or similar law,</w:t>
      </w:r>
    </w:p>
    <w:p>
      <w:pPr>
        <w:jc w:val="both"/>
        <w:ind w:left="660" w:hanging="4"/>
        <w:spacing w:after="0" w:line="253" w:lineRule="auto"/>
        <w:tabs>
          <w:tab w:leader="none" w:pos="9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 to the institution of, or fail to contest in a reasonably timely and appropriate manner, any proceeding or the filing of any petition described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(iii) apply for or consent to the appointment of a receiver, trustee, custodian, sequestrator, conservator or similar official for the Borrower, any Material Subsidiary that is a Restricted Subsidiary, (iv) file an answer admitting the material allegations of a petition filed against it in any such proceeding, (v) make a general assignment for the benefit of creditors, (vi) generally become unable, admit in writing its inability or fail generally to pay its debts as they become due, or (vii) take any action for the purpose of effecting any of the foregoing;</w:t>
      </w:r>
    </w:p>
    <w:p>
      <w:pPr>
        <w:spacing w:after="0" w:line="18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occur;</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(m)           the Loan Purchase Agreement for any reason shall cease to be in full force and effect (other than in accordance with its terms), or AEPC shall deny in writing that it has any further liability under the Loan Purchase Agreement (other than as a result of the discharge of AEPC in accordance with the terms of the Loan Purchase Agreement), or default shall be made in the due observance or performance by AEPC of any covenant or agreement contained in the Loan Purchase Agreement; </w:t>
      </w:r>
      <w:r>
        <w:rPr>
          <w:rFonts w:ascii="Times New Roman" w:cs="Times New Roman" w:eastAsia="Times New Roman" w:hAnsi="Times New Roman"/>
          <w:sz w:val="18"/>
          <w:szCs w:val="18"/>
          <w:color w:val="FF0000"/>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-88265</wp:posOffset>
            </wp:positionV>
            <wp:extent cx="1238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16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(n)           there shall occur one or more ERISA Events, which individually or in the aggregate results in or would reasonably be expected to result in a Material Adverse Effect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u w:val="single" w:color="auto"/>
          <w:color w:val="0000FF"/>
        </w:rPr>
        <w:t>; or</w:t>
      </w:r>
    </w:p>
    <w:p>
      <w:pPr>
        <w:spacing w:after="0" w:line="16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u w:val="single" w:color="auto"/>
          <w:color w:val="0000FF"/>
        </w:rPr>
        <w:t>(o)</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FF"/>
        </w:rPr>
        <w:t>default shall be made in the due observance or performance by the Borrower or any Restricted Subsidiary of the covenant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 xml:space="preserve">contained in Section 7.11(d) and such default shall continue for a period of fifteen (15) Business Days without being remedied through receipt of cash proceeds from either (i) an issuance of Equity Interests or (ii) an incurrence of Permitted Unsecured Debt that is subordinated to the repayment in full of all Obligations on terms and conditions that satisfy the requirements of subordinated indebtedness set forth in the definition of Permitted Unsecured Debt in increments of $1,000,000 (as applicable) and in an amount necessary to cure such default; </w:t>
      </w:r>
      <w:r>
        <w:rPr>
          <w:rFonts w:ascii="Times New Roman" w:cs="Times New Roman" w:eastAsia="Times New Roman" w:hAnsi="Times New Roman"/>
          <w:sz w:val="18"/>
          <w:szCs w:val="18"/>
          <w:i w:val="1"/>
          <w:iCs w:val="1"/>
          <w:u w:val="single" w:color="auto"/>
          <w:color w:val="0000FF"/>
        </w:rPr>
        <w:t>provided, however</w:t>
      </w:r>
      <w:r>
        <w:rPr>
          <w:rFonts w:ascii="Times New Roman" w:cs="Times New Roman" w:eastAsia="Times New Roman" w:hAnsi="Times New Roman"/>
          <w:sz w:val="18"/>
          <w:szCs w:val="18"/>
          <w:u w:val="single" w:color="auto"/>
          <w:color w:val="0000FF"/>
        </w:rPr>
        <w:t xml:space="preserve">, that during such fifteen (15) Business Day cure period, the Borrower’s default under this clause (o) shall not constitute a Default; </w:t>
      </w:r>
      <w:r>
        <w:rPr>
          <w:rFonts w:ascii="Times New Roman" w:cs="Times New Roman" w:eastAsia="Times New Roman" w:hAnsi="Times New Roman"/>
          <w:sz w:val="18"/>
          <w:szCs w:val="18"/>
          <w:i w:val="1"/>
          <w:iCs w:val="1"/>
          <w:u w:val="single" w:color="auto"/>
          <w:color w:val="0000FF"/>
        </w:rPr>
        <w:t>provided, further</w:t>
      </w:r>
      <w:r>
        <w:rPr>
          <w:rFonts w:ascii="Times New Roman" w:cs="Times New Roman" w:eastAsia="Times New Roman" w:hAnsi="Times New Roman"/>
          <w:sz w:val="18"/>
          <w:szCs w:val="18"/>
          <w:u w:val="single" w:color="auto"/>
          <w:color w:val="0000FF"/>
        </w:rPr>
        <w:t>, that the Lenders shall have no obligation to honor any Request for Credit Extension (other than a Loan Notice requesting only a conversion of Loans to the other Type, or a continuation of Term SOFR Loans) during such fifteen (15) Business Day cure period until and unless such default shall have been remedied.</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Without limiting the provisions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if a Default shall have occurred under the Loan Documents, then such Default will continue to exist until it either is cured (to the extent specifically permitted) in accordance with the Loan Documents or is otherwise expressly waived by Administrative Agent (with the approval of requisite Appropriate Lenders (in their sole discretion)) as determined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once an Event of Default occurs under the Loan Documents, then such Event of Default will continue to exist until it is expressly waived by the Required Lenders or by the Administrative Agent with the approval of the Required Lenders, as required hereunder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8.02.</w:t>
      </w:r>
      <w:r>
        <w:rPr>
          <w:sz w:val="20"/>
          <w:szCs w:val="20"/>
          <w:color w:val="auto"/>
        </w:rPr>
        <w:tab/>
      </w:r>
      <w:r>
        <w:rPr>
          <w:rFonts w:ascii="Times New Roman" w:cs="Times New Roman" w:eastAsia="Times New Roman" w:hAnsi="Times New Roman"/>
          <w:sz w:val="17"/>
          <w:szCs w:val="17"/>
          <w:color w:val="auto"/>
        </w:rPr>
        <w:t>Remedies upon Event of Default.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shall, at the request of, or may, with the consent of, the Required Lenders, take any or all of the following actions: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declare the Commitment of each Lender to make Loans and any obligation of the L/C Issuer to make L/C Credit Extensions to be terminated, whereupon such commitments and obligation shall be terminated;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require that the Borrower Cash Collateralize the L/C Obligations (in an amount equal to the Minimum Collateral Amount with respect thereto); and</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exercise on behalf of itself, the Lenders and the L/C Issuer all rights and remedies available to it, the Lenders and the L/C Issuer under the Loan Documents or Applicable Law or equity;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upon the occurrence of an event described in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8.01(k)</w:t>
      </w:r>
      <w:r>
        <w:rPr>
          <w:rFonts w:ascii="Times New Roman" w:cs="Times New Roman" w:eastAsia="Times New Roman" w:hAnsi="Times New Roman"/>
          <w:sz w:val="18"/>
          <w:szCs w:val="18"/>
          <w:color w:val="auto"/>
        </w:rPr>
        <w:t xml:space="preserve"> with respect to the Borrower, the Commitment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8.03.</w:t>
      </w:r>
      <w:r>
        <w:rPr>
          <w:sz w:val="20"/>
          <w:szCs w:val="20"/>
          <w:color w:val="auto"/>
        </w:rPr>
        <w:tab/>
      </w:r>
      <w:r>
        <w:rPr>
          <w:rFonts w:ascii="Times New Roman" w:cs="Times New Roman" w:eastAsia="Times New Roman" w:hAnsi="Times New Roman"/>
          <w:sz w:val="18"/>
          <w:szCs w:val="18"/>
          <w:color w:val="auto"/>
        </w:rPr>
        <w:t>Application of Funds.</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After the exercise of remedies provided for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any amounts received on account of the Secured Obligations shall, subject to the provisions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be applied by the Administrative Agent in the following order:</w:t>
      </w:r>
    </w:p>
    <w:p>
      <w:pPr>
        <w:spacing w:after="0" w:line="178"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First</w:t>
      </w:r>
      <w:r>
        <w:rPr>
          <w:rFonts w:ascii="Times New Roman" w:cs="Times New Roman" w:eastAsia="Times New Roman" w:hAnsi="Times New Roman"/>
          <w:sz w:val="18"/>
          <w:szCs w:val="18"/>
          <w:color w:val="auto"/>
        </w:rPr>
        <w:t>, to payment of that portion of the Secured Obligations constituting fees, indemnities, expenses and other amounts (including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73"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Second</w:t>
      </w:r>
      <w:r>
        <w:rPr>
          <w:rFonts w:ascii="Times New Roman" w:cs="Times New Roman" w:eastAsia="Times New Roman" w:hAnsi="Times New Roman"/>
          <w:sz w:val="18"/>
          <w:szCs w:val="18"/>
          <w:color w:val="auto"/>
        </w:rPr>
        <w:t>, to payment of that portion of the Secured Obligations constituting fees, indemnities and other amounts (other than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and Letter of Credit Fees) payable to the Lenders, the Foreign Obligation Providers and the L/C Issuer (including fees, charges and disbursements of counsel to the respective Lenders, the Foreign Obligation Providers and the L/C Issuer (including fees and time charges for attorneys who may be employees of any Lender or the L/C Issuer)) arising under the Loan Documents and the Foreign Obligation Loan Documents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w:t>
      </w:r>
      <w:r>
        <w:rPr>
          <w:rFonts w:ascii="Times New Roman" w:cs="Times New Roman" w:eastAsia="Times New Roman" w:hAnsi="Times New Roman"/>
          <w:sz w:val="18"/>
          <w:szCs w:val="18"/>
          <w:i w:val="1"/>
          <w:iCs w:val="1"/>
          <w:u w:val="single" w:color="auto"/>
          <w:color w:val="auto"/>
        </w:rPr>
        <w:t>Second</w:t>
      </w:r>
      <w:r>
        <w:rPr>
          <w:rFonts w:ascii="Times New Roman" w:cs="Times New Roman" w:eastAsia="Times New Roman" w:hAnsi="Times New Roman"/>
          <w:sz w:val="18"/>
          <w:szCs w:val="18"/>
          <w:color w:val="auto"/>
        </w:rPr>
        <w:t xml:space="preserve"> clause payable to them;</w:t>
      </w:r>
    </w:p>
    <w:p>
      <w:pPr>
        <w:spacing w:after="0" w:line="182"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Third</w:t>
      </w:r>
      <w:r>
        <w:rPr>
          <w:rFonts w:ascii="Times New Roman" w:cs="Times New Roman" w:eastAsia="Times New Roman" w:hAnsi="Times New Roman"/>
          <w:sz w:val="18"/>
          <w:szCs w:val="18"/>
          <w:color w:val="auto"/>
        </w:rPr>
        <w:t>, to payment of that portion of the Secured Obligations constituting accrued and unpaid Letter of Credit Fees and interest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Loans, L/C Borrowings and other Secured Obligations arising under the Loan Documents, ratably among the Lenders and the L/C Issuer in proportion to the respective amounts described in this </w:t>
      </w:r>
      <w:r>
        <w:rPr>
          <w:rFonts w:ascii="Times New Roman" w:cs="Times New Roman" w:eastAsia="Times New Roman" w:hAnsi="Times New Roman"/>
          <w:sz w:val="18"/>
          <w:szCs w:val="18"/>
          <w:i w:val="1"/>
          <w:iCs w:val="1"/>
          <w:u w:val="single" w:color="auto"/>
          <w:color w:val="auto"/>
        </w:rPr>
        <w:t>Third</w:t>
      </w:r>
      <w:r>
        <w:rPr>
          <w:rFonts w:ascii="Times New Roman" w:cs="Times New Roman" w:eastAsia="Times New Roman" w:hAnsi="Times New Roman"/>
          <w:sz w:val="18"/>
          <w:szCs w:val="18"/>
          <w:color w:val="auto"/>
        </w:rPr>
        <w:t xml:space="preserve"> clause payable to them;</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4" w:name="page155"/>
    <w:bookmarkEnd w:id="154"/>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Fourth</w:t>
      </w:r>
      <w:r>
        <w:rPr>
          <w:rFonts w:ascii="Times New Roman" w:cs="Times New Roman" w:eastAsia="Times New Roman" w:hAnsi="Times New Roman"/>
          <w:sz w:val="18"/>
          <w:szCs w:val="18"/>
          <w:color w:val="auto"/>
        </w:rPr>
        <w:t>, to payment of that portion of the Secured Obligations constituting unpaid principal of the Loans, L/C Borrowings and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then owing under Secured Hedge Agreements and Secured Cash Management Agreements and to the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and to the Foreign Obligation Providers, to cash collateralize undrawn contingent liability obligations owing to such Foreign Obligation Provider under the Foreign Obligation Loan Documents to the extent not otherwise cash collateralized by the applicable Foreign Subsidiary, in each case ratably among the Administrative Agent, the Lenders, the Foreign Obligation Providers, the L/C Issuer, the Hedge Banks and the Cash Management Banks in proportion to the respective amounts described in this </w:t>
      </w:r>
      <w:r>
        <w:rPr>
          <w:rFonts w:ascii="Times New Roman" w:cs="Times New Roman" w:eastAsia="Times New Roman" w:hAnsi="Times New Roman"/>
          <w:sz w:val="18"/>
          <w:szCs w:val="18"/>
          <w:i w:val="1"/>
          <w:iCs w:val="1"/>
          <w:u w:val="single" w:color="auto"/>
          <w:color w:val="auto"/>
        </w:rPr>
        <w:t>Fourth</w:t>
      </w:r>
      <w:r>
        <w:rPr>
          <w:rFonts w:ascii="Times New Roman" w:cs="Times New Roman" w:eastAsia="Times New Roman" w:hAnsi="Times New Roman"/>
          <w:sz w:val="18"/>
          <w:szCs w:val="18"/>
          <w:color w:val="auto"/>
        </w:rPr>
        <w:t xml:space="preserve"> clause held by them; and</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u w:val="single" w:color="auto"/>
          <w:color w:val="auto"/>
        </w:rPr>
        <w:t>Last</w:t>
      </w:r>
      <w:r>
        <w:rPr>
          <w:rFonts w:ascii="Times New Roman" w:cs="Times New Roman" w:eastAsia="Times New Roman" w:hAnsi="Times New Roman"/>
          <w:sz w:val="18"/>
          <w:szCs w:val="18"/>
          <w:color w:val="auto"/>
        </w:rPr>
        <w:t>, the balance, if any, after all of the Secured Obligations have been indefeasibly paid in full, to the Borrower or as otherwise required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Law.</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amounts used to Cash Collateralize the aggregate undrawn amount of Letters of Credit pursuant to the </w:t>
      </w:r>
      <w:r>
        <w:rPr>
          <w:rFonts w:ascii="Times New Roman" w:cs="Times New Roman" w:eastAsia="Times New Roman" w:hAnsi="Times New Roman"/>
          <w:sz w:val="18"/>
          <w:szCs w:val="18"/>
          <w:i w:val="1"/>
          <w:iCs w:val="1"/>
          <w:u w:val="single" w:color="auto"/>
          <w:color w:val="auto"/>
        </w:rPr>
        <w:t>Fourth</w:t>
      </w:r>
      <w:r>
        <w:rPr>
          <w:rFonts w:ascii="Times New Roman" w:cs="Times New Roman" w:eastAsia="Times New Roman" w:hAnsi="Times New Roman"/>
          <w:sz w:val="18"/>
          <w:szCs w:val="18"/>
          <w:color w:val="auto"/>
        </w:rPr>
        <w:t xml:space="preserve"> clause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Notwithstanding the foregoing, Secured Obligations arising under Secured Cash Management Agreements, Foreign Obligation Loan Documents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Foreign Obligation Provider or Hedge Bank, as the case may be. Each Cash Management Bank, Foreign Obligation Provider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itself and its Affiliates as if a “Lender” party hereto.</w:t>
      </w:r>
    </w:p>
    <w:p>
      <w:pPr>
        <w:spacing w:after="0" w:line="200" w:lineRule="exact"/>
        <w:rPr>
          <w:sz w:val="20"/>
          <w:szCs w:val="20"/>
          <w:color w:val="auto"/>
        </w:rPr>
      </w:pPr>
    </w:p>
    <w:p>
      <w:pPr>
        <w:spacing w:after="0" w:line="20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ADMINISTRATIVE AGENT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9.01.</w:t>
      </w:r>
      <w:r>
        <w:rPr>
          <w:sz w:val="20"/>
          <w:szCs w:val="20"/>
          <w:color w:val="auto"/>
        </w:rPr>
        <w:tab/>
      </w:r>
      <w:r>
        <w:rPr>
          <w:rFonts w:ascii="Times New Roman" w:cs="Times New Roman" w:eastAsia="Times New Roman" w:hAnsi="Times New Roman"/>
          <w:sz w:val="17"/>
          <w:szCs w:val="17"/>
          <w:color w:val="auto"/>
        </w:rPr>
        <w:t>Appointment and Authority.</w:t>
      </w:r>
    </w:p>
    <w:p>
      <w:pPr>
        <w:spacing w:after="0" w:line="229"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Appointment</w:t>
      </w:r>
      <w:r>
        <w:rPr>
          <w:rFonts w:ascii="Times New Roman" w:cs="Times New Roman" w:eastAsia="Times New Roman" w:hAnsi="Times New Roman"/>
          <w:sz w:val="18"/>
          <w:szCs w:val="18"/>
          <w:color w:val="auto"/>
        </w:rPr>
        <w:t xml:space="preserve">. Each of the Lenders and the L/C Issuer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solely for the benefit of the Administrative Agent, the Lenders and the L/C Issuer,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In addition, to the extent required under the laws of any jurisdiction other than the United States of America, each of the Lenders and Secured Parties hereby grants to the Administrative Agent any required powers of attorney to execute any Collateral Document or other Loan Document governed by the laws of such jurisdiction on such Lender’s or Secured Party’s behalf.</w:t>
      </w:r>
    </w:p>
    <w:p>
      <w:pPr>
        <w:spacing w:after="0" w:line="19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Administrative Agent</w:t>
      </w:r>
      <w:r>
        <w:rPr>
          <w:rFonts w:ascii="Times New Roman" w:cs="Times New Roman" w:eastAsia="Times New Roman" w:hAnsi="Times New Roman"/>
          <w:sz w:val="18"/>
          <w:szCs w:val="18"/>
          <w:color w:val="auto"/>
        </w:rPr>
        <w:t>. The Administrative Agent shall also act as the “collateral agent” under the Loan Documents, and each of the Lenders (including in its capacities as a Lender, a potential Hedge Bank, a potential Foreign Obligation Provider</w:t>
      </w:r>
      <w:r>
        <w:rPr>
          <w:rFonts w:ascii="Times New Roman" w:cs="Times New Roman" w:eastAsia="Times New Roman" w:hAnsi="Times New Roman"/>
          <w:sz w:val="18"/>
          <w:szCs w:val="18"/>
          <w:color w:val="FF0000"/>
          <w:strike w:val="1"/>
        </w:rPr>
        <w:t>, Swingline Lender,</w:t>
      </w:r>
      <w:r>
        <w:rPr>
          <w:rFonts w:ascii="Times New Roman" w:cs="Times New Roman" w:eastAsia="Times New Roman" w:hAnsi="Times New Roman"/>
          <w:sz w:val="18"/>
          <w:szCs w:val="18"/>
          <w:color w:val="auto"/>
        </w:rPr>
        <w:t xml:space="preserve">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as though such co-agents, sub-agents and attorneys-in-fact were the “collateral agent” under the Loan Documents) as if set forth in full herein with respect thereto.</w:t>
      </w:r>
    </w:p>
    <w:p>
      <w:pPr>
        <w:spacing w:after="0" w:line="19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9.02.</w:t>
      </w:r>
      <w:r>
        <w:rPr>
          <w:sz w:val="20"/>
          <w:szCs w:val="20"/>
          <w:color w:val="auto"/>
        </w:rPr>
        <w:tab/>
      </w:r>
      <w:r>
        <w:rPr>
          <w:rFonts w:ascii="Times New Roman" w:cs="Times New Roman" w:eastAsia="Times New Roman" w:hAnsi="Times New Roman"/>
          <w:sz w:val="17"/>
          <w:szCs w:val="17"/>
          <w:color w:val="auto"/>
        </w:rPr>
        <w:t>Rights as a Lender.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9.03.</w:t>
      </w:r>
      <w:r>
        <w:rPr>
          <w:sz w:val="20"/>
          <w:szCs w:val="20"/>
          <w:color w:val="auto"/>
        </w:rPr>
        <w:tab/>
      </w:r>
      <w:r>
        <w:rPr>
          <w:rFonts w:ascii="Times New Roman" w:cs="Times New Roman" w:eastAsia="Times New Roman" w:hAnsi="Times New Roman"/>
          <w:sz w:val="18"/>
          <w:szCs w:val="18"/>
          <w:color w:val="auto"/>
        </w:rPr>
        <w:t>Exculpatory Provisions.</w:t>
      </w:r>
    </w:p>
    <w:p>
      <w:pPr>
        <w:spacing w:after="0" w:line="22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The Administrative Agent or the Arrangers, as applicable, shall not have any duties or obligations except those expressly set forth herein and in the other Loan Documents, and its duties hereunder shall be administrative in nature. Without limiting the generality of the foregoing, the Administrative Agent or the Arrangers, as applicable, and its Related Parties:</w:t>
      </w:r>
    </w:p>
    <w:p>
      <w:pPr>
        <w:spacing w:after="0" w:line="176"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(i)           shall not be subject to any fiduciary or other implied duties, regardless of whether a Default has occurred and is continuing;</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6" w:name="page157"/>
    <w:bookmarkEnd w:id="156"/>
    <w:p>
      <w:pPr>
        <w:jc w:val="both"/>
        <w:ind w:left="8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(iii) 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Arrangers or any of their Related Parties in any capacity, except for notices, reports and other documents expressly required to be furnished to the Lenders by the Administrative Agent herein.</w:t>
      </w:r>
    </w:p>
    <w:p>
      <w:pPr>
        <w:spacing w:after="0" w:line="187"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the L/C Issuer.</w:t>
      </w:r>
    </w:p>
    <w:p>
      <w:pPr>
        <w:spacing w:after="0" w:line="189" w:lineRule="exact"/>
        <w:rPr>
          <w:sz w:val="20"/>
          <w:szCs w:val="20"/>
          <w:color w:val="auto"/>
        </w:rPr>
      </w:pPr>
    </w:p>
    <w:p>
      <w:pPr>
        <w:jc w:val="both"/>
        <w:ind w:left="180" w:firstLine="648"/>
        <w:spacing w:after="0" w:line="272" w:lineRule="auto"/>
        <w:rPr>
          <w:sz w:val="20"/>
          <w:szCs w:val="20"/>
          <w:color w:val="auto"/>
        </w:rPr>
      </w:pPr>
      <w:r>
        <w:rPr>
          <w:rFonts w:ascii="Times New Roman" w:cs="Times New Roman" w:eastAsia="Times New Roman" w:hAnsi="Times New Roman"/>
          <w:sz w:val="17"/>
          <w:szCs w:val="17"/>
          <w:color w:val="auto"/>
        </w:rPr>
        <w:t xml:space="preserve">(c)            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or elsewhere herein, other than to confirm receipt of items expressly required to be delivered to the Administrative Agent.</w:t>
      </w:r>
    </w:p>
    <w:p>
      <w:pPr>
        <w:spacing w:after="0" w:line="172" w:lineRule="exact"/>
        <w:rPr>
          <w:sz w:val="20"/>
          <w:szCs w:val="20"/>
          <w:color w:val="auto"/>
        </w:rPr>
      </w:pPr>
    </w:p>
    <w:p>
      <w:pPr>
        <w:jc w:val="both"/>
        <w:ind w:left="180" w:firstLine="648"/>
        <w:spacing w:after="0" w:line="277" w:lineRule="auto"/>
        <w:rPr>
          <w:sz w:val="20"/>
          <w:szCs w:val="20"/>
          <w:color w:val="auto"/>
        </w:rPr>
      </w:pPr>
      <w:r>
        <w:rPr>
          <w:rFonts w:ascii="Times New Roman" w:cs="Times New Roman" w:eastAsia="Times New Roman" w:hAnsi="Times New Roman"/>
          <w:sz w:val="17"/>
          <w:szCs w:val="17"/>
          <w:color w:val="auto"/>
        </w:rPr>
        <w:t>(d)            Neither the Administrative Agent nor any of its Related Parties shall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w:t>
      </w:r>
    </w:p>
    <w:p>
      <w:pPr>
        <w:spacing w:after="0" w:line="38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336" w:right="339" w:bottom="1440" w:gutter="0" w:footer="0" w:header="0"/>
        </w:sectPr>
      </w:pPr>
    </w:p>
    <w:bookmarkStart w:id="157" w:name="page158"/>
    <w:bookmarkEnd w:id="157"/>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9.04.</w:t>
      </w:r>
      <w:r>
        <w:rPr>
          <w:sz w:val="20"/>
          <w:szCs w:val="20"/>
          <w:color w:val="auto"/>
        </w:rPr>
        <w:tab/>
      </w:r>
      <w:r>
        <w:rPr>
          <w:rFonts w:ascii="Times New Roman" w:cs="Times New Roman" w:eastAsia="Times New Roman" w:hAnsi="Times New Roman"/>
          <w:sz w:val="17"/>
          <w:szCs w:val="17"/>
          <w:color w:val="auto"/>
        </w:rPr>
        <w:t>Reliance by Administrative Agent.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19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9.05.</w:t>
      </w:r>
      <w:r>
        <w:rPr>
          <w:sz w:val="20"/>
          <w:szCs w:val="20"/>
          <w:color w:val="auto"/>
        </w:rPr>
        <w:tab/>
      </w:r>
      <w:r>
        <w:rPr>
          <w:rFonts w:ascii="Times New Roman" w:cs="Times New Roman" w:eastAsia="Times New Roman" w:hAnsi="Times New Roman"/>
          <w:sz w:val="17"/>
          <w:szCs w:val="17"/>
          <w:color w:val="auto"/>
        </w:rPr>
        <w:t>Delegation of Duties.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9.06.</w:t>
      </w:r>
      <w:r>
        <w:rPr>
          <w:sz w:val="20"/>
          <w:szCs w:val="20"/>
          <w:color w:val="auto"/>
        </w:rPr>
        <w:tab/>
      </w:r>
      <w:r>
        <w:rPr>
          <w:rFonts w:ascii="Times New Roman" w:cs="Times New Roman" w:eastAsia="Times New Roman" w:hAnsi="Times New Roman"/>
          <w:sz w:val="17"/>
          <w:szCs w:val="17"/>
          <w:color w:val="auto"/>
        </w:rPr>
        <w:t>Resignation of Administrative Agent.</w:t>
      </w:r>
    </w:p>
    <w:p>
      <w:pPr>
        <w:spacing w:after="0" w:line="229"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Notice</w:t>
      </w:r>
      <w:r>
        <w:rPr>
          <w:rFonts w:ascii="Times New Roman" w:cs="Times New Roman" w:eastAsia="Times New Roman" w:hAnsi="Times New Roman"/>
          <w:sz w:val="18"/>
          <w:szCs w:val="18"/>
          <w:color w:val="auto"/>
        </w:rPr>
        <w:t>. The Administrative Agent may at any time give notice of its resignation to the Lenders, the L/C Issuer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i w:val="1"/>
          <w:iCs w:val="1"/>
          <w:u w:val="single" w:color="auto"/>
          <w:color w:val="auto"/>
        </w:rPr>
        <w:t>Resignation Effective Date</w:t>
      </w:r>
      <w:r>
        <w:rPr>
          <w:rFonts w:ascii="Times New Roman" w:cs="Times New Roman" w:eastAsia="Times New Roman" w:hAnsi="Times New Roman"/>
          <w:sz w:val="18"/>
          <w:szCs w:val="18"/>
          <w:color w:val="auto"/>
        </w:rPr>
        <w:t xml:space="preserve">”), then the retiring Administrative Agent may (but shall not be obligated to) on behalf of the Lenders and the L/C Issuer, appoint a successor Administrative Agent meeting the qualifications set forth above;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no event shall any successor Administrative Agent be a Defaulting Lender or a Disqualified Institution. Whether or not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 has been appointed, such resignation shall become effective in accordance with such notice on the Resignation Effective Date.</w:t>
      </w:r>
    </w:p>
    <w:p>
      <w:pPr>
        <w:spacing w:after="0" w:line="200" w:lineRule="exact"/>
        <w:rPr>
          <w:sz w:val="20"/>
          <w:szCs w:val="20"/>
          <w:color w:val="auto"/>
        </w:rPr>
      </w:pPr>
    </w:p>
    <w:p>
      <w:pPr>
        <w:spacing w:after="0" w:line="20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58" w:name="page159"/>
    <w:bookmarkEnd w:id="158"/>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Defaulting Lender</w:t>
      </w:r>
      <w:r>
        <w:rPr>
          <w:rFonts w:ascii="Times New Roman" w:cs="Times New Roman" w:eastAsia="Times New Roman" w:hAnsi="Times New Roman"/>
          <w:sz w:val="18"/>
          <w:szCs w:val="18"/>
          <w:color w:val="auto"/>
        </w:rPr>
        <w:t>. If the Person serving as the Administrative Agent is a Defaulting Lender pursuant to clause (d) of the definition thereof, the Required Lenders may, to the extent permitted by applicable Law, by notice in writing to the Borrower and such Person remove such Person as the Administrative Agent and, with the consent of the Borrower, which consent shall not be unreasonably withheld, conditioned or delayed(which Borrowers consent shall not be required if an Event of Default has occurred and is continuing),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18"/>
          <w:szCs w:val="18"/>
          <w:i w:val="1"/>
          <w:iCs w:val="1"/>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9"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Effect of Resignation or Removal</w:t>
      </w:r>
      <w:r>
        <w:rPr>
          <w:rFonts w:ascii="Times New Roman" w:cs="Times New Roman" w:eastAsia="Times New Roman" w:hAnsi="Times New Roman"/>
          <w:sz w:val="18"/>
          <w:szCs w:val="18"/>
          <w:color w:val="auto"/>
        </w:rPr>
        <w:t xml:space="preserve">.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and the retiring or removed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The fees payable by the Borrower to a successor Administrative Agent shall be the same as those payable to its predecessor unless otherwise agreed between the Borrower and such successor. After the retiring or removed Administrative Agent’s resignation hereunder and under the other Loan Documents,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spacing w:after="0" w:line="188"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L/C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and Swingline Lender</w:t>
      </w:r>
      <w:r>
        <w:rPr>
          <w:rFonts w:ascii="Times New Roman" w:cs="Times New Roman" w:eastAsia="Times New Roman" w:hAnsi="Times New Roman"/>
          <w:sz w:val="18"/>
          <w:szCs w:val="18"/>
          <w:color w:val="auto"/>
        </w:rPr>
        <w:t xml:space="preserve">. Any resignation by Bank of America as Administrative Agent pursuant to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shall also constitute its resignation as L/C Issuer </w:t>
      </w:r>
      <w:r>
        <w:rPr>
          <w:rFonts w:ascii="Times New Roman" w:cs="Times New Roman" w:eastAsia="Times New Roman" w:hAnsi="Times New Roman"/>
          <w:sz w:val="18"/>
          <w:szCs w:val="18"/>
          <w:color w:val="FF0000"/>
          <w:strike w:val="1"/>
        </w:rPr>
        <w:t>and Swingline Lender</w:t>
      </w:r>
      <w:r>
        <w:rPr>
          <w:rFonts w:ascii="Times New Roman" w:cs="Times New Roman" w:eastAsia="Times New Roman" w:hAnsi="Times New Roman"/>
          <w:sz w:val="18"/>
          <w:szCs w:val="18"/>
          <w:color w:val="auto"/>
        </w:rPr>
        <w:t xml:space="preserve">.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If Bank of America resigns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the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2.04(c). </w:t>
      </w:r>
      <w:r>
        <w:rPr>
          <w:rFonts w:ascii="Times New Roman" w:cs="Times New Roman" w:eastAsia="Times New Roman" w:hAnsi="Times New Roman"/>
          <w:sz w:val="18"/>
          <w:szCs w:val="18"/>
          <w:color w:val="000000"/>
          <w:strike w:val="1"/>
        </w:rPr>
        <w:t>Upon the appointment by the Borrower of a</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successor L/C Issuer </w:t>
      </w:r>
      <w:r>
        <w:rPr>
          <w:rFonts w:ascii="Times New Roman" w:cs="Times New Roman" w:eastAsia="Times New Roman" w:hAnsi="Times New Roman"/>
          <w:sz w:val="18"/>
          <w:szCs w:val="18"/>
          <w:color w:val="FF0000"/>
          <w:strike w:val="1"/>
        </w:rPr>
        <w:t>or Swingline Lender</w:t>
      </w:r>
      <w:r>
        <w:rPr>
          <w:rFonts w:ascii="Times New Roman" w:cs="Times New Roman" w:eastAsia="Times New Roman" w:hAnsi="Times New Roman"/>
          <w:sz w:val="18"/>
          <w:szCs w:val="18"/>
          <w:color w:val="000000"/>
          <w:strike w:val="1"/>
        </w:rPr>
        <w:t xml:space="preserve"> hereunder (which successor shall in all cases be a Lender other than a Defaulting Lender),</w:t>
      </w:r>
    </w:p>
    <w:p>
      <w:pPr>
        <w:spacing w:after="0" w:line="6" w:lineRule="exact"/>
        <w:rPr>
          <w:sz w:val="20"/>
          <w:szCs w:val="20"/>
          <w:color w:val="auto"/>
        </w:rPr>
      </w:pPr>
    </w:p>
    <w:p>
      <w:pPr>
        <w:jc w:val="both"/>
        <w:ind w:left="180" w:firstLine="4"/>
        <w:spacing w:after="0" w:line="253" w:lineRule="auto"/>
        <w:tabs>
          <w:tab w:leader="none" w:pos="40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successor shall succeed to and become vested with all of the rights, powers, privileges and duties of the retiring L/C Issuer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Swingline Lender, as applicable</w:t>
      </w:r>
      <w:r>
        <w:rPr>
          <w:rFonts w:ascii="Times New Roman" w:cs="Times New Roman" w:eastAsia="Times New Roman" w:hAnsi="Times New Roman"/>
          <w:sz w:val="18"/>
          <w:szCs w:val="18"/>
          <w:color w:val="000000"/>
        </w:rPr>
        <w:t>, (ii) the retiring L/C Issuer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and Swingline Lender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shall be discharged from all of their respective duties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00" w:lineRule="exact"/>
        <w:rPr>
          <w:sz w:val="20"/>
          <w:szCs w:val="20"/>
          <w:color w:val="auto"/>
        </w:rPr>
      </w:pPr>
    </w:p>
    <w:p>
      <w:pPr>
        <w:spacing w:after="0" w:line="20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9" w:name="page160"/>
    <w:bookmarkEnd w:id="159"/>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9.07.</w:t>
      </w:r>
      <w:r>
        <w:rPr>
          <w:sz w:val="20"/>
          <w:szCs w:val="20"/>
          <w:color w:val="auto"/>
        </w:rPr>
        <w:tab/>
      </w:r>
      <w:r>
        <w:rPr>
          <w:rFonts w:ascii="Times New Roman" w:cs="Times New Roman" w:eastAsia="Times New Roman" w:hAnsi="Times New Roman"/>
          <w:sz w:val="17"/>
          <w:szCs w:val="17"/>
          <w:color w:val="auto"/>
        </w:rPr>
        <w:t>Non-Reliance on Administrative Agent, the Arrangers and the Other Lenders.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Each Lender and the L/C Issuer expressly acknowledges that none of the Administrative Agent nor any Arranger has made any representation or warranty to it, and that no act by the Administrative Agent or such Arranger hereafter taken, including any consent to, and acceptance of any assignment or review of the affairs of any Loan Party or any Affiliate thereof, shall be deemed to constitute any representation or warranty by the Administrative Agent or such Arranger to any Lender or the L/C Issuer as to any matter, including whether the Administrative Agent or such Arranger have disclosed material information in their (or their Related Parties’) possession. Each Lender and the L/C Issuer represents to the Administrative Agent and each Arranger that it has, independently and without reliance upon the Administrative Agent, such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60" w:name="page161"/>
    <w:bookmarkEnd w:id="160"/>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9.08.</w:t>
      </w:r>
      <w:r>
        <w:rPr>
          <w:sz w:val="20"/>
          <w:szCs w:val="20"/>
          <w:color w:val="auto"/>
        </w:rPr>
        <w:tab/>
      </w:r>
      <w:r>
        <w:rPr>
          <w:rFonts w:ascii="Times New Roman" w:cs="Times New Roman" w:eastAsia="Times New Roman" w:hAnsi="Times New Roman"/>
          <w:sz w:val="17"/>
          <w:szCs w:val="17"/>
          <w:color w:val="auto"/>
        </w:rPr>
        <w:t>No Other Duties, Etc.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Anything herein to the contrary notwithstanding, none of the titles listed on the cover page hereof shall have any powers, duties or responsibilities under this Agreement or any of the other Loan Documents, except in its capacity, as applicable, as the Administrative Agent, an Arranger, a Lender or the L/C Issuer hereunder.</w:t>
      </w:r>
    </w:p>
    <w:p>
      <w:pPr>
        <w:spacing w:after="0" w:line="17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9.09.</w:t>
      </w:r>
      <w:r>
        <w:rPr>
          <w:sz w:val="20"/>
          <w:szCs w:val="20"/>
          <w:color w:val="auto"/>
        </w:rPr>
        <w:tab/>
      </w:r>
      <w:r>
        <w:rPr>
          <w:rFonts w:ascii="Times New Roman" w:cs="Times New Roman" w:eastAsia="Times New Roman" w:hAnsi="Times New Roman"/>
          <w:sz w:val="17"/>
          <w:szCs w:val="17"/>
          <w:color w:val="auto"/>
        </w:rPr>
        <w:t>Administrative Agent May File Proofs of Claim</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Credit Bidding.</w:t>
      </w:r>
    </w:p>
    <w:p>
      <w:pPr>
        <w:spacing w:after="0" w:line="229"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(a)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0"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            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18"/>
          <w:szCs w:val="18"/>
          <w:u w:val="single" w:color="auto"/>
          <w:color w:val="auto"/>
        </w:rPr>
        <w:t>Sections 2.03(h</w:t>
      </w:r>
      <w:r>
        <w:rPr>
          <w:rFonts w:ascii="Times New Roman" w:cs="Times New Roman" w:eastAsia="Times New Roman" w:hAnsi="Times New Roman"/>
          <w:sz w:val="18"/>
          <w:szCs w:val="18"/>
          <w:color w:val="auto"/>
        </w:rPr>
        <w:t xml:space="preserve">) and (i),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2.10(b</w:t>
      </w:r>
      <w:r>
        <w:rPr>
          <w:rFonts w:ascii="Times New Roman" w:cs="Times New Roman" w:eastAsia="Times New Roman" w:hAnsi="Times New Roman"/>
          <w:sz w:val="18"/>
          <w:szCs w:val="18"/>
          <w:color w:val="auto"/>
        </w:rPr>
        <w:t>)and 11.04) allowed in such judicial proceeding; and</w:t>
      </w:r>
    </w:p>
    <w:p>
      <w:pPr>
        <w:spacing w:after="0" w:line="187"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(b)            Nothing contained herein shall be deemed to authorize the Administrative Agent to authorize or consent to or accept or adopt on behalf of any Lender or the L/C Issuer any plan of reorganization, arrangement, adjustment or composition affecting the Secured Obligations or the rights of any Lender or the L/C Issuer to authorize the Administrative Agent to vote in respect of the claim of any Lender or the L/C Issuer or in any such proceeding.</w:t>
      </w:r>
    </w:p>
    <w:p>
      <w:pPr>
        <w:spacing w:after="0" w:line="39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61" w:name="page162"/>
    <w:bookmarkEnd w:id="161"/>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(c)            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Sections 363, 1123 or 1129 of the Bankruptcy Code of the United States,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any actions by the Administrative Agent with respect to such acquisition vehicle or vehicles, including any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clauses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through (d)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of this Agreement), and (C)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and the Equity Interests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spacing w:after="0" w:line="201"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9.10.</w:t>
      </w:r>
      <w:r>
        <w:rPr>
          <w:sz w:val="20"/>
          <w:szCs w:val="20"/>
          <w:color w:val="auto"/>
        </w:rPr>
        <w:tab/>
      </w:r>
      <w:r>
        <w:rPr>
          <w:rFonts w:ascii="Times New Roman" w:cs="Times New Roman" w:eastAsia="Times New Roman" w:hAnsi="Times New Roman"/>
          <w:sz w:val="17"/>
          <w:szCs w:val="17"/>
          <w:color w:val="auto"/>
        </w:rPr>
        <w:t>Collateral and Guaranty Matters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(a)            Each of the Lenders (including in its capacities as a potential Cash Management Bank, potential Foreign Obligation Provider and a potential Hedge Bank) and the L/C Issuer irrevocably authorize the Administrative Agent, at its option and in its discretion,</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            to release any Lien on any property granted to or held by the Administrative Agent under any Loan Document</w:t>
      </w:r>
    </w:p>
    <w:p>
      <w:pPr>
        <w:spacing w:after="0" w:line="27" w:lineRule="exact"/>
        <w:rPr>
          <w:sz w:val="20"/>
          <w:szCs w:val="20"/>
          <w:color w:val="auto"/>
        </w:rPr>
      </w:pPr>
    </w:p>
    <w:p>
      <w:pPr>
        <w:jc w:val="both"/>
        <w:ind w:left="840" w:hanging="8"/>
        <w:spacing w:after="0" w:line="250" w:lineRule="auto"/>
        <w:tabs>
          <w:tab w:leader="none" w:pos="10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Facility Termination Date, (ii) that is sold or otherwise disposed of or to be sold or otherwise disposed of as part of or in connection with any sale or other disposition or other transaction permitted hereunder or under any other Loan Document,</w:t>
      </w:r>
    </w:p>
    <w:p>
      <w:pPr>
        <w:ind w:left="840" w:right="20" w:hanging="8"/>
        <w:spacing w:after="0" w:line="260" w:lineRule="auto"/>
        <w:tabs>
          <w:tab w:leader="none" w:pos="12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constitutes Excluded Property, or(iv) if approved, authorized or ratified in writing by the Required Lenders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8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            to subordinate or release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Sections 7.02(e)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(j) and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840" w:firstLine="648"/>
        <w:spacing w:after="0" w:line="282" w:lineRule="auto"/>
        <w:rPr>
          <w:sz w:val="20"/>
          <w:szCs w:val="20"/>
          <w:color w:val="auto"/>
        </w:rPr>
      </w:pPr>
      <w:r>
        <w:rPr>
          <w:rFonts w:ascii="Times New Roman" w:cs="Times New Roman" w:eastAsia="Times New Roman" w:hAnsi="Times New Roman"/>
          <w:sz w:val="18"/>
          <w:szCs w:val="18"/>
          <w:color w:val="auto"/>
        </w:rPr>
        <w:t>(iii)            to release any Guarantor from its obligations under the Guaranty and any other Loan Document if such Person ceases to be a Restricted Subsidiary as a result of a transaction permitted under the Loan Documents;</w:t>
      </w:r>
    </w:p>
    <w:p>
      <w:pPr>
        <w:spacing w:after="0" w:line="162" w:lineRule="exact"/>
        <w:rPr>
          <w:sz w:val="20"/>
          <w:szCs w:val="20"/>
          <w:color w:val="auto"/>
        </w:rPr>
      </w:pPr>
    </w:p>
    <w:p>
      <w:pPr>
        <w:ind w:left="840" w:firstLine="648"/>
        <w:spacing w:after="0" w:line="282" w:lineRule="auto"/>
        <w:rPr>
          <w:sz w:val="20"/>
          <w:szCs w:val="20"/>
          <w:color w:val="auto"/>
        </w:rPr>
      </w:pPr>
      <w:r>
        <w:rPr>
          <w:rFonts w:ascii="Times New Roman" w:cs="Times New Roman" w:eastAsia="Times New Roman" w:hAnsi="Times New Roman"/>
          <w:sz w:val="18"/>
          <w:szCs w:val="18"/>
          <w:color w:val="auto"/>
        </w:rPr>
        <w:t>(iv)           to release any Lien granted to or held by the Administrative Agent under the Loan Documents on the Equity Interests of any Unrestricted Subsidiary; and</w:t>
      </w:r>
    </w:p>
    <w:p>
      <w:pPr>
        <w:spacing w:after="0" w:line="3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2" w:name="page163"/>
    <w:bookmarkEnd w:id="162"/>
    <w:p>
      <w:pPr>
        <w:ind w:left="1940"/>
        <w:spacing w:after="0"/>
        <w:rPr>
          <w:sz w:val="20"/>
          <w:szCs w:val="20"/>
          <w:color w:val="auto"/>
        </w:rPr>
      </w:pPr>
      <w:r>
        <w:rPr>
          <w:rFonts w:ascii="Times New Roman" w:cs="Times New Roman" w:eastAsia="Times New Roman" w:hAnsi="Times New Roman"/>
          <w:sz w:val="18"/>
          <w:szCs w:val="18"/>
          <w:color w:val="auto"/>
        </w:rPr>
        <w:t>(v)            to enter into and perform each intercreditor or subordination agreement contemplated herein.</w:t>
      </w:r>
    </w:p>
    <w:p>
      <w:pPr>
        <w:spacing w:after="0" w:line="225"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(c)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7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9.11.</w:t>
      </w:r>
      <w:r>
        <w:rPr>
          <w:sz w:val="20"/>
          <w:szCs w:val="20"/>
          <w:color w:val="auto"/>
        </w:rPr>
        <w:tab/>
      </w:r>
      <w:r>
        <w:rPr>
          <w:rFonts w:ascii="Times New Roman" w:cs="Times New Roman" w:eastAsia="Times New Roman" w:hAnsi="Times New Roman"/>
          <w:sz w:val="17"/>
          <w:szCs w:val="17"/>
          <w:color w:val="auto"/>
        </w:rPr>
        <w:t>Secured Cash Management Agreements and Secured Hedge Agreements.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Except as otherwise expressly set forth herein in the Guaranty or any Collateral Document, no Cash Management Bank, Foreign Obligation Provider or Hedge Bank that obtains the benefit of the provisions of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Secured Obligations arising under Secured Cash Management Agreements, Foreign Obligation Loans Documents and Secured Hedge Agreements except to the extent expressly provided herein and unless the Administrative Agent has received a Secured Party Designation Notice of such Secured Obligations, together with such supporting documentation as the Administrative Agent may request, from the applicable Cash Management Bank, Foreign Obligation Provider or Hedge Bank, as the case may be. The Administrative Agent shall not be required to verify the payment of, or that other satisfactory arrangements have been made with respect to, Secured Obligations arising under Secured Cash Management Agreements, Foreign Obligation Loans Documents and Secured Hedge Agreements in the case of a Facility Termination Date.</w:t>
      </w:r>
    </w:p>
    <w:p>
      <w:pPr>
        <w:spacing w:after="0" w:line="19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9.12.</w:t>
      </w:r>
      <w:r>
        <w:rPr>
          <w:sz w:val="20"/>
          <w:szCs w:val="20"/>
          <w:color w:val="auto"/>
        </w:rPr>
        <w:tab/>
      </w:r>
      <w:r>
        <w:rPr>
          <w:rFonts w:ascii="Times New Roman" w:cs="Times New Roman" w:eastAsia="Times New Roman" w:hAnsi="Times New Roman"/>
          <w:sz w:val="18"/>
          <w:szCs w:val="18"/>
          <w:color w:val="auto"/>
        </w:rPr>
        <w:t>Certain ERISA Matters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80"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39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3" w:name="page164"/>
    <w:bookmarkEnd w:id="163"/>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9"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of Part I of PTE 84–14 are satisfied with respect to such Lender’s entrance into, participation in, administration of and performance of the Loans, the Letters of Credit, the Commitments and this Agreement, or</w:t>
      </w:r>
    </w:p>
    <w:p>
      <w:pPr>
        <w:spacing w:after="0" w:line="192"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In addition, unless either (1)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9.13.</w:t>
      </w:r>
      <w:r>
        <w:rPr>
          <w:sz w:val="20"/>
          <w:szCs w:val="20"/>
          <w:color w:val="auto"/>
        </w:rPr>
        <w:tab/>
      </w:r>
      <w:r>
        <w:rPr>
          <w:rFonts w:ascii="Times New Roman" w:cs="Times New Roman" w:eastAsia="Times New Roman" w:hAnsi="Times New Roman"/>
          <w:sz w:val="17"/>
          <w:szCs w:val="17"/>
          <w:color w:val="auto"/>
        </w:rPr>
        <w:t>Recovery of Erroneous Payments.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00" w:lineRule="exact"/>
        <w:rPr>
          <w:sz w:val="20"/>
          <w:szCs w:val="20"/>
          <w:color w:val="auto"/>
        </w:rPr>
      </w:pPr>
    </w:p>
    <w:p>
      <w:pPr>
        <w:spacing w:after="0" w:line="20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4" w:name="page165"/>
    <w:bookmarkEnd w:id="164"/>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left="3884"/>
        <w:spacing w:after="0"/>
        <w:rPr>
          <w:sz w:val="20"/>
          <w:szCs w:val="20"/>
          <w:color w:val="auto"/>
        </w:rPr>
      </w:pPr>
      <w:r>
        <w:rPr>
          <w:rFonts w:ascii="Times New Roman" w:cs="Times New Roman" w:eastAsia="Times New Roman" w:hAnsi="Times New Roman"/>
          <w:sz w:val="18"/>
          <w:szCs w:val="18"/>
          <w:u w:val="single" w:color="auto"/>
          <w:color w:val="auto"/>
        </w:rPr>
        <w:t>CONTINUING GUARANTY</w:t>
      </w:r>
    </w:p>
    <w:p>
      <w:pPr>
        <w:spacing w:after="0" w:line="221" w:lineRule="exact"/>
        <w:rPr>
          <w:sz w:val="20"/>
          <w:szCs w:val="20"/>
          <w:color w:val="auto"/>
        </w:rPr>
      </w:pPr>
    </w:p>
    <w:p>
      <w:pPr>
        <w:ind w:left="644"/>
        <w:spacing w:after="0"/>
        <w:tabs>
          <w:tab w:leader="none" w:pos="1284" w:val="left"/>
        </w:tabs>
        <w:rPr>
          <w:sz w:val="20"/>
          <w:szCs w:val="20"/>
          <w:color w:val="auto"/>
        </w:rPr>
      </w:pPr>
      <w:r>
        <w:rPr>
          <w:rFonts w:ascii="Times New Roman" w:cs="Times New Roman" w:eastAsia="Times New Roman" w:hAnsi="Times New Roman"/>
          <w:sz w:val="18"/>
          <w:szCs w:val="18"/>
          <w:b w:val="1"/>
          <w:bCs w:val="1"/>
          <w:color w:val="auto"/>
        </w:rPr>
        <w:t>10.01.</w:t>
      </w:r>
      <w:r>
        <w:rPr>
          <w:sz w:val="20"/>
          <w:szCs w:val="20"/>
          <w:color w:val="auto"/>
        </w:rPr>
        <w:tab/>
      </w:r>
      <w:r>
        <w:rPr>
          <w:rFonts w:ascii="Times New Roman" w:cs="Times New Roman" w:eastAsia="Times New Roman" w:hAnsi="Times New Roman"/>
          <w:sz w:val="17"/>
          <w:szCs w:val="17"/>
          <w:color w:val="auto"/>
        </w:rPr>
        <w:t>Guaranty</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 Guarantor, subject to the proviso in this sentence, its “</w:t>
      </w:r>
      <w:r>
        <w:rPr>
          <w:rFonts w:ascii="Times New Roman" w:cs="Times New Roman" w:eastAsia="Times New Roman" w:hAnsi="Times New Roman"/>
          <w:sz w:val="18"/>
          <w:szCs w:val="18"/>
          <w:i w:val="1"/>
          <w:iCs w:val="1"/>
          <w:u w:val="single" w:color="auto"/>
          <w:color w:val="auto"/>
        </w:rPr>
        <w:t>Guaranteed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or other Applicable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Secured Obligations.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spacing w:after="0" w:line="191" w:lineRule="exact"/>
        <w:rPr>
          <w:sz w:val="20"/>
          <w:szCs w:val="20"/>
          <w:color w:val="auto"/>
        </w:rPr>
      </w:pPr>
    </w:p>
    <w:p>
      <w:pPr>
        <w:ind w:left="644"/>
        <w:spacing w:after="0"/>
        <w:tabs>
          <w:tab w:leader="none" w:pos="1284" w:val="left"/>
        </w:tabs>
        <w:rPr>
          <w:sz w:val="20"/>
          <w:szCs w:val="20"/>
          <w:color w:val="auto"/>
        </w:rPr>
      </w:pPr>
      <w:r>
        <w:rPr>
          <w:rFonts w:ascii="Times New Roman" w:cs="Times New Roman" w:eastAsia="Times New Roman" w:hAnsi="Times New Roman"/>
          <w:sz w:val="18"/>
          <w:szCs w:val="18"/>
          <w:b w:val="1"/>
          <w:bCs w:val="1"/>
          <w:color w:val="auto"/>
        </w:rPr>
        <w:t>10.02.</w:t>
      </w:r>
      <w:r>
        <w:rPr>
          <w:sz w:val="20"/>
          <w:szCs w:val="20"/>
          <w:color w:val="auto"/>
        </w:rPr>
        <w:tab/>
      </w:r>
      <w:r>
        <w:rPr>
          <w:rFonts w:ascii="Times New Roman" w:cs="Times New Roman" w:eastAsia="Times New Roman" w:hAnsi="Times New Roman"/>
          <w:sz w:val="17"/>
          <w:szCs w:val="17"/>
          <w:color w:val="auto"/>
        </w:rPr>
        <w:t>Rights of Lenders.</w:t>
      </w:r>
    </w:p>
    <w:p>
      <w:pPr>
        <w:spacing w:after="0" w:line="229"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 and the Lenders in their sole discretion may determine; and</w:t>
      </w:r>
    </w:p>
    <w:p>
      <w:pPr>
        <w:spacing w:after="0" w:line="3" w:lineRule="exact"/>
        <w:rPr>
          <w:sz w:val="20"/>
          <w:szCs w:val="20"/>
          <w:color w:val="auto"/>
        </w:rPr>
      </w:pPr>
    </w:p>
    <w:p>
      <w:pPr>
        <w:jc w:val="both"/>
        <w:ind w:left="4" w:hanging="4"/>
        <w:spacing w:after="0" w:line="255" w:lineRule="auto"/>
        <w:tabs>
          <w:tab w:leader="none" w:pos="26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substitute 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200" w:lineRule="exact"/>
        <w:rPr>
          <w:sz w:val="20"/>
          <w:szCs w:val="20"/>
          <w:color w:val="auto"/>
        </w:rPr>
      </w:pPr>
    </w:p>
    <w:p>
      <w:pPr>
        <w:spacing w:after="0" w:line="202"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65" w:name="page166"/>
    <w:bookmarkEnd w:id="165"/>
    <w:p>
      <w:pPr>
        <w:ind w:left="644"/>
        <w:spacing w:after="0"/>
        <w:tabs>
          <w:tab w:leader="none" w:pos="1284" w:val="left"/>
        </w:tabs>
        <w:rPr>
          <w:sz w:val="20"/>
          <w:szCs w:val="20"/>
          <w:color w:val="auto"/>
        </w:rPr>
      </w:pPr>
      <w:r>
        <w:rPr>
          <w:rFonts w:ascii="Times New Roman" w:cs="Times New Roman" w:eastAsia="Times New Roman" w:hAnsi="Times New Roman"/>
          <w:sz w:val="18"/>
          <w:szCs w:val="18"/>
          <w:b w:val="1"/>
          <w:bCs w:val="1"/>
          <w:color w:val="auto"/>
        </w:rPr>
        <w:t>10.03.</w:t>
      </w:r>
      <w:r>
        <w:rPr>
          <w:sz w:val="20"/>
          <w:szCs w:val="20"/>
          <w:color w:val="auto"/>
        </w:rPr>
        <w:tab/>
      </w:r>
      <w:r>
        <w:rPr>
          <w:rFonts w:ascii="Times New Roman" w:cs="Times New Roman" w:eastAsia="Times New Roman" w:hAnsi="Times New Roman"/>
          <w:sz w:val="17"/>
          <w:szCs w:val="17"/>
          <w:color w:val="auto"/>
        </w:rPr>
        <w:t>Certain Waivers.</w:t>
      </w:r>
    </w:p>
    <w:p>
      <w:pPr>
        <w:spacing w:after="0" w:line="229" w:lineRule="exact"/>
        <w:rPr>
          <w:sz w:val="20"/>
          <w:szCs w:val="20"/>
          <w:color w:val="auto"/>
        </w:rPr>
      </w:pPr>
    </w:p>
    <w:p>
      <w:pPr>
        <w:jc w:val="both"/>
        <w:ind w:left="4" w:right="20" w:firstLine="648"/>
        <w:spacing w:after="0" w:line="276" w:lineRule="auto"/>
        <w:rPr>
          <w:sz w:val="20"/>
          <w:szCs w:val="20"/>
          <w:color w:val="auto"/>
        </w:rPr>
      </w:pPr>
      <w:r>
        <w:rPr>
          <w:rFonts w:ascii="Times New Roman" w:cs="Times New Roman" w:eastAsia="Times New Roman" w:hAnsi="Times New Roman"/>
          <w:sz w:val="17"/>
          <w:szCs w:val="17"/>
          <w:color w:val="auto"/>
        </w:rPr>
        <w:t>Each Guarantor waives (a) any defense arising by reason of any disability or other defense of the Borrower or any other guarantor, or the cessation from any cause whatsoever (including any act or omission of any Secured Party) of the liability of the Borrower or any other Loan Party;</w:t>
      </w:r>
    </w:p>
    <w:p>
      <w:pPr>
        <w:spacing w:after="0" w:line="1" w:lineRule="exact"/>
        <w:rPr>
          <w:sz w:val="20"/>
          <w:szCs w:val="20"/>
          <w:color w:val="auto"/>
        </w:rPr>
      </w:pPr>
    </w:p>
    <w:p>
      <w:pPr>
        <w:jc w:val="both"/>
        <w:ind w:left="4" w:hanging="4"/>
        <w:spacing w:after="0" w:line="251" w:lineRule="auto"/>
        <w:tabs>
          <w:tab w:leader="none" w:pos="2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spacing w:after="0" w:line="189" w:lineRule="exact"/>
        <w:rPr>
          <w:sz w:val="20"/>
          <w:szCs w:val="20"/>
          <w:color w:val="auto"/>
        </w:rPr>
      </w:pPr>
    </w:p>
    <w:p>
      <w:pPr>
        <w:ind w:left="644"/>
        <w:spacing w:after="0"/>
        <w:tabs>
          <w:tab w:leader="none" w:pos="1284" w:val="left"/>
        </w:tabs>
        <w:rPr>
          <w:sz w:val="20"/>
          <w:szCs w:val="20"/>
          <w:color w:val="auto"/>
        </w:rPr>
      </w:pPr>
      <w:r>
        <w:rPr>
          <w:rFonts w:ascii="Times New Roman" w:cs="Times New Roman" w:eastAsia="Times New Roman" w:hAnsi="Times New Roman"/>
          <w:sz w:val="18"/>
          <w:szCs w:val="18"/>
          <w:b w:val="1"/>
          <w:bCs w:val="1"/>
          <w:color w:val="auto"/>
        </w:rPr>
        <w:t>10.04.</w:t>
      </w:r>
      <w:r>
        <w:rPr>
          <w:sz w:val="20"/>
          <w:szCs w:val="20"/>
          <w:color w:val="auto"/>
        </w:rPr>
        <w:tab/>
      </w:r>
      <w:r>
        <w:rPr>
          <w:rFonts w:ascii="Times New Roman" w:cs="Times New Roman" w:eastAsia="Times New Roman" w:hAnsi="Times New Roman"/>
          <w:sz w:val="17"/>
          <w:szCs w:val="17"/>
          <w:color w:val="auto"/>
        </w:rPr>
        <w:t>Obligations Independent.</w:t>
      </w:r>
    </w:p>
    <w:p>
      <w:pPr>
        <w:spacing w:after="0" w:line="229"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spacing w:after="0" w:line="172" w:lineRule="exact"/>
        <w:rPr>
          <w:sz w:val="20"/>
          <w:szCs w:val="20"/>
          <w:color w:val="auto"/>
        </w:rPr>
      </w:pPr>
    </w:p>
    <w:p>
      <w:pPr>
        <w:ind w:left="644"/>
        <w:spacing w:after="0"/>
        <w:tabs>
          <w:tab w:leader="none" w:pos="1284" w:val="left"/>
        </w:tabs>
        <w:rPr>
          <w:sz w:val="20"/>
          <w:szCs w:val="20"/>
          <w:color w:val="auto"/>
        </w:rPr>
      </w:pPr>
      <w:r>
        <w:rPr>
          <w:rFonts w:ascii="Times New Roman" w:cs="Times New Roman" w:eastAsia="Times New Roman" w:hAnsi="Times New Roman"/>
          <w:sz w:val="18"/>
          <w:szCs w:val="18"/>
          <w:b w:val="1"/>
          <w:bCs w:val="1"/>
          <w:color w:val="auto"/>
        </w:rPr>
        <w:t>10.05.</w:t>
      </w:r>
      <w:r>
        <w:rPr>
          <w:sz w:val="20"/>
          <w:szCs w:val="20"/>
          <w:color w:val="auto"/>
        </w:rPr>
        <w:tab/>
      </w:r>
      <w:r>
        <w:rPr>
          <w:rFonts w:ascii="Times New Roman" w:cs="Times New Roman" w:eastAsia="Times New Roman" w:hAnsi="Times New Roman"/>
          <w:sz w:val="17"/>
          <w:szCs w:val="17"/>
          <w:color w:val="auto"/>
        </w:rPr>
        <w:t>Subrogation.</w:t>
      </w:r>
    </w:p>
    <w:p>
      <w:pPr>
        <w:spacing w:after="0" w:line="229"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and the Commitments and the Facilities are terminated.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spacing w:after="0" w:line="179" w:lineRule="exact"/>
        <w:rPr>
          <w:sz w:val="20"/>
          <w:szCs w:val="20"/>
          <w:color w:val="auto"/>
        </w:rPr>
      </w:pPr>
    </w:p>
    <w:p>
      <w:pPr>
        <w:ind w:left="644"/>
        <w:spacing w:after="0"/>
        <w:tabs>
          <w:tab w:leader="none" w:pos="1284" w:val="left"/>
        </w:tabs>
        <w:rPr>
          <w:sz w:val="20"/>
          <w:szCs w:val="20"/>
          <w:color w:val="auto"/>
        </w:rPr>
      </w:pPr>
      <w:r>
        <w:rPr>
          <w:rFonts w:ascii="Times New Roman" w:cs="Times New Roman" w:eastAsia="Times New Roman" w:hAnsi="Times New Roman"/>
          <w:sz w:val="18"/>
          <w:szCs w:val="18"/>
          <w:b w:val="1"/>
          <w:bCs w:val="1"/>
          <w:color w:val="auto"/>
        </w:rPr>
        <w:t>10.06.</w:t>
      </w:r>
      <w:r>
        <w:rPr>
          <w:sz w:val="20"/>
          <w:szCs w:val="20"/>
          <w:color w:val="auto"/>
        </w:rPr>
        <w:tab/>
      </w:r>
      <w:r>
        <w:rPr>
          <w:rFonts w:ascii="Times New Roman" w:cs="Times New Roman" w:eastAsia="Times New Roman" w:hAnsi="Times New Roman"/>
          <w:sz w:val="17"/>
          <w:szCs w:val="17"/>
          <w:color w:val="auto"/>
        </w:rPr>
        <w:t>Termination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Reinstatement.</w:t>
      </w:r>
    </w:p>
    <w:p>
      <w:pPr>
        <w:spacing w:after="0" w:line="229"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shall survive termination of this Guaranty.</w:t>
      </w:r>
    </w:p>
    <w:p>
      <w:pPr>
        <w:spacing w:after="0" w:line="200" w:lineRule="exact"/>
        <w:rPr>
          <w:sz w:val="20"/>
          <w:szCs w:val="20"/>
          <w:color w:val="auto"/>
        </w:rPr>
      </w:pPr>
    </w:p>
    <w:p>
      <w:pPr>
        <w:spacing w:after="0" w:line="204"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66" w:name="page167"/>
    <w:bookmarkEnd w:id="166"/>
    <w:p>
      <w:pPr>
        <w:ind w:left="6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10.07.</w:t>
      </w:r>
      <w:r>
        <w:rPr>
          <w:sz w:val="20"/>
          <w:szCs w:val="20"/>
          <w:color w:val="auto"/>
        </w:rPr>
        <w:tab/>
      </w:r>
      <w:r>
        <w:rPr>
          <w:rFonts w:ascii="Times New Roman" w:cs="Times New Roman" w:eastAsia="Times New Roman" w:hAnsi="Times New Roman"/>
          <w:sz w:val="17"/>
          <w:szCs w:val="17"/>
          <w:color w:val="auto"/>
        </w:rPr>
        <w:t>Stay of Acceleration.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17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10.08.</w:t>
      </w:r>
      <w:r>
        <w:rPr>
          <w:sz w:val="20"/>
          <w:szCs w:val="20"/>
          <w:color w:val="auto"/>
        </w:rPr>
        <w:tab/>
      </w:r>
      <w:r>
        <w:rPr>
          <w:rFonts w:ascii="Times New Roman" w:cs="Times New Roman" w:eastAsia="Times New Roman" w:hAnsi="Times New Roman"/>
          <w:sz w:val="17"/>
          <w:szCs w:val="17"/>
          <w:color w:val="auto"/>
        </w:rPr>
        <w:t>Condition of Borrower.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83"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10.09.</w:t>
      </w:r>
      <w:r>
        <w:rPr>
          <w:sz w:val="20"/>
          <w:szCs w:val="20"/>
          <w:color w:val="auto"/>
        </w:rPr>
        <w:tab/>
      </w:r>
      <w:r>
        <w:rPr>
          <w:rFonts w:ascii="Times New Roman" w:cs="Times New Roman" w:eastAsia="Times New Roman" w:hAnsi="Times New Roman"/>
          <w:sz w:val="17"/>
          <w:szCs w:val="17"/>
          <w:color w:val="auto"/>
        </w:rPr>
        <w:t>Appointment of Borrower.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spacing w:after="0" w:line="18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10.10.</w:t>
      </w:r>
      <w:r>
        <w:rPr>
          <w:sz w:val="20"/>
          <w:szCs w:val="20"/>
          <w:color w:val="auto"/>
        </w:rPr>
        <w:tab/>
      </w:r>
      <w:r>
        <w:rPr>
          <w:rFonts w:ascii="Times New Roman" w:cs="Times New Roman" w:eastAsia="Times New Roman" w:hAnsi="Times New Roman"/>
          <w:sz w:val="17"/>
          <w:szCs w:val="17"/>
          <w:color w:val="auto"/>
        </w:rPr>
        <w:t>Right of Contribution.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Guarantors agree among themselves that, in connection with payments made hereunder, each Guarantor shall have contribution rights against the other Guarantors as permitted under Applicable Law.</w:t>
      </w:r>
    </w:p>
    <w:p>
      <w:pPr>
        <w:spacing w:after="0" w:line="15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10.11.</w:t>
      </w:r>
      <w:r>
        <w:rPr>
          <w:sz w:val="20"/>
          <w:szCs w:val="20"/>
          <w:color w:val="auto"/>
        </w:rPr>
        <w:tab/>
      </w:r>
      <w:r>
        <w:rPr>
          <w:rFonts w:ascii="Times New Roman" w:cs="Times New Roman" w:eastAsia="Times New Roman" w:hAnsi="Times New Roman"/>
          <w:sz w:val="18"/>
          <w:szCs w:val="18"/>
          <w:color w:val="auto"/>
        </w:rPr>
        <w:t>Keepwell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remain in full force and effect until the Secured Obligations have been indefeasibly paid and performed in full. Each Loan Party intends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to constitute, and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be deemed to constitute, a guarantee of the obligations of, and a “keepwell, support, or other agreement” for the benefit of, each Specified Loan Party for all purposes of the Commodity Exchange Act.</w:t>
      </w:r>
    </w:p>
    <w:p>
      <w:pPr>
        <w:spacing w:after="0" w:line="200" w:lineRule="exact"/>
        <w:rPr>
          <w:sz w:val="20"/>
          <w:szCs w:val="20"/>
          <w:color w:val="auto"/>
        </w:rPr>
      </w:pPr>
    </w:p>
    <w:p>
      <w:pPr>
        <w:spacing w:after="0" w:line="21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67" w:name="page168"/>
    <w:bookmarkEnd w:id="167"/>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1"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11.01.</w:t>
      </w:r>
      <w:r>
        <w:rPr>
          <w:sz w:val="20"/>
          <w:szCs w:val="20"/>
          <w:color w:val="auto"/>
        </w:rPr>
        <w:tab/>
      </w:r>
      <w:r>
        <w:rPr>
          <w:rFonts w:ascii="Times New Roman" w:cs="Times New Roman" w:eastAsia="Times New Roman" w:hAnsi="Times New Roman"/>
          <w:sz w:val="17"/>
          <w:szCs w:val="17"/>
          <w:color w:val="auto"/>
        </w:rPr>
        <w:t>Amendments, Etc.</w:t>
      </w:r>
    </w:p>
    <w:p>
      <w:pPr>
        <w:spacing w:after="0" w:line="229"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the last paragraph of this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amendment, waiver or consent shall:</w:t>
      </w:r>
    </w:p>
    <w:p>
      <w:pPr>
        <w:spacing w:after="0" w:line="187" w:lineRule="exact"/>
        <w:rPr>
          <w:sz w:val="20"/>
          <w:szCs w:val="20"/>
          <w:color w:val="auto"/>
        </w:rPr>
      </w:pPr>
    </w:p>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without the written consent of such Lender (it being understood and agreed that a waiver of any condition precedent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of any Default or a mandatory reduction in Commitments is not considered an extension or increase in Commitments of any Lender);</w:t>
      </w:r>
    </w:p>
    <w:p>
      <w:pPr>
        <w:spacing w:after="0" w:line="180"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(ii)            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176" w:lineRule="exact"/>
        <w:rPr>
          <w:sz w:val="20"/>
          <w:szCs w:val="20"/>
          <w:color w:val="auto"/>
        </w:rPr>
      </w:pPr>
    </w:p>
    <w:p>
      <w:pPr>
        <w:jc w:val="both"/>
        <w:ind w:left="8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(iii)           reduce the principal of, or the rate of interest specified herein on, any Loan or L/C Borrowing, or (subject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second proviso to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only the consent of the Required Lenders shall be necessary (i) to amend the definition of “Default Rate” or to waive any obligation of the Borrower to pay interest or Letter of Credit Fees at the Default Rate or (ii) to amend or waive any financial covenant hereunder (or any defined term or component defined term used therein) even if the effect of such amendment or waiver would be to reduce the rate of interest on any Loan or L/C Borrowing or to reduce any fee payable hereunder;</w:t>
      </w:r>
    </w:p>
    <w:p>
      <w:pPr>
        <w:spacing w:after="0" w:line="189" w:lineRule="exact"/>
        <w:rPr>
          <w:sz w:val="20"/>
          <w:szCs w:val="20"/>
          <w:color w:val="auto"/>
        </w:rPr>
      </w:pPr>
    </w:p>
    <w:p>
      <w:pPr>
        <w:jc w:val="both"/>
        <w:ind w:left="8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(iv)           (A) change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in a manner that would alter the pro rata sharing of payments, the pro rata application of proceeds, the pro rata reduction of commitments or the order of any waterfall required thereby, in each case, without the written consent of each Lender, (B) change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in a manner that would alter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application required thereby without the written consent of each Lender directly affected thereby or (C) except as permitted under </w:t>
      </w:r>
      <w:r>
        <w:rPr>
          <w:rFonts w:ascii="Times New Roman" w:cs="Times New Roman" w:eastAsia="Times New Roman" w:hAnsi="Times New Roman"/>
          <w:sz w:val="18"/>
          <w:szCs w:val="18"/>
          <w:u w:val="single" w:color="auto"/>
          <w:color w:val="auto"/>
        </w:rPr>
        <w:t>Section 9.10(a)(ii)</w:t>
      </w:r>
      <w:r>
        <w:rPr>
          <w:rFonts w:ascii="Times New Roman" w:cs="Times New Roman" w:eastAsia="Times New Roman" w:hAnsi="Times New Roman"/>
          <w:sz w:val="18"/>
          <w:szCs w:val="18"/>
          <w:color w:val="auto"/>
        </w:rPr>
        <w:t>, subordinate, or have the effect of subordinating, the Liens granted to the Administrative Agent for the benefit of the Lenders as of the Closing Date, or subordinate, or have the effect of subordinating, the Secured Obligations hereunder to any other Indebtedness, in each case without the written consent of each Lender;</w:t>
      </w:r>
    </w:p>
    <w:p>
      <w:pPr>
        <w:spacing w:after="0" w:line="200" w:lineRule="exact"/>
        <w:rPr>
          <w:sz w:val="20"/>
          <w:szCs w:val="20"/>
          <w:color w:val="auto"/>
        </w:rPr>
      </w:pPr>
    </w:p>
    <w:p>
      <w:pPr>
        <w:spacing w:after="0" w:line="20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68" w:name="page169"/>
    <w:bookmarkEnd w:id="168"/>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change any provision of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the definition of “Required Lenders” or “Required Class Lenders” or any other provision of any Loan Document specifying the number or percentage of Lenders required to amend, waive or otherwise modify any rights hereunder or thereunder or make any determination or grant any consent hereunder, without the written consent of each Lender;</w:t>
      </w:r>
    </w:p>
    <w:p>
      <w:pPr>
        <w:spacing w:after="0" w:line="180" w:lineRule="exact"/>
        <w:rPr>
          <w:sz w:val="20"/>
          <w:szCs w:val="20"/>
          <w:color w:val="auto"/>
        </w:rPr>
      </w:pPr>
    </w:p>
    <w:p>
      <w:pPr>
        <w:jc w:val="both"/>
        <w:ind w:left="840" w:firstLine="648"/>
        <w:spacing w:after="0" w:line="28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0000FF"/>
        </w:rPr>
        <w:t>subject to Section 7.04(b),</w:t>
      </w:r>
      <w:r>
        <w:rPr>
          <w:rFonts w:ascii="Times New Roman" w:cs="Times New Roman" w:eastAsia="Times New Roman" w:hAnsi="Times New Roman"/>
          <w:sz w:val="18"/>
          <w:szCs w:val="18"/>
          <w:color w:val="auto"/>
        </w:rPr>
        <w:t xml:space="preserve"> release all or substantially all of the Collateral in any transaction or series of related transactions, without the written consent of each Lender;</w:t>
      </w:r>
    </w:p>
    <w:p>
      <w:pPr>
        <w:spacing w:after="0" w:line="162"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(vii)         release </w:t>
      </w:r>
      <w:r>
        <w:rPr>
          <w:rFonts w:ascii="Times New Roman" w:cs="Times New Roman" w:eastAsia="Times New Roman" w:hAnsi="Times New Roman"/>
          <w:sz w:val="18"/>
          <w:szCs w:val="18"/>
          <w:color w:val="FF0000"/>
          <w:strike w:val="1"/>
        </w:rPr>
        <w:t>all or substantially all of the</w:t>
      </w:r>
      <w:r>
        <w:rPr>
          <w:rFonts w:ascii="Times New Roman" w:cs="Times New Roman" w:eastAsia="Times New Roman" w:hAnsi="Times New Roman"/>
          <w:sz w:val="18"/>
          <w:szCs w:val="18"/>
          <w:u w:val="single" w:color="auto"/>
          <w:color w:val="0000FF"/>
        </w:rPr>
        <w:t>any of</w:t>
      </w:r>
      <w:r>
        <w:rPr>
          <w:rFonts w:ascii="Times New Roman" w:cs="Times New Roman" w:eastAsia="Times New Roman" w:hAnsi="Times New Roman"/>
          <w:sz w:val="18"/>
          <w:szCs w:val="18"/>
          <w:color w:val="auto"/>
        </w:rPr>
        <w:t xml:space="preserve"> value of the Guaranty, without the written consent of each Lender, except to the extent the release of any Subsidiary from the Guaranty is permitted pursuant to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which case such release may be made by the Administrative Agent acting alone);</w:t>
      </w:r>
    </w:p>
    <w:p>
      <w:pPr>
        <w:spacing w:after="0" w:line="176" w:lineRule="exact"/>
        <w:rPr>
          <w:sz w:val="20"/>
          <w:szCs w:val="20"/>
          <w:color w:val="auto"/>
        </w:rPr>
      </w:pPr>
    </w:p>
    <w:p>
      <w:pPr>
        <w:jc w:val="both"/>
        <w:ind w:left="840" w:firstLine="648"/>
        <w:spacing w:after="0" w:line="282" w:lineRule="auto"/>
        <w:rPr>
          <w:sz w:val="20"/>
          <w:szCs w:val="20"/>
          <w:color w:val="auto"/>
        </w:rPr>
      </w:pPr>
      <w:r>
        <w:rPr>
          <w:rFonts w:ascii="Times New Roman" w:cs="Times New Roman" w:eastAsia="Times New Roman" w:hAnsi="Times New Roman"/>
          <w:sz w:val="18"/>
          <w:szCs w:val="18"/>
          <w:color w:val="auto"/>
        </w:rPr>
        <w:t>(viii)         release the Borrower or permit the Borrower to assign or transfer any of its rights or obligations under this Agreement or the other Loan Documents without the consent of each Lender; or</w:t>
      </w:r>
    </w:p>
    <w:p>
      <w:pPr>
        <w:spacing w:after="0" w:line="162"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8"/>
          <w:szCs w:val="18"/>
          <w:color w:val="auto"/>
        </w:rPr>
        <w:t>(ix)          directly and materially adversely affect the rights of Lenders holding Commitments or Loans of one Class differently from the rights of Lenders holding Commitments or Loans of any other Class without the written consent of the applicable Required Class Lenders; and</w:t>
      </w:r>
    </w:p>
    <w:p>
      <w:pPr>
        <w:spacing w:after="0" w:line="174" w:lineRule="exact"/>
        <w:rPr>
          <w:sz w:val="20"/>
          <w:szCs w:val="20"/>
          <w:color w:val="auto"/>
        </w:rPr>
      </w:pPr>
    </w:p>
    <w:p>
      <w:pPr>
        <w:jc w:val="both"/>
        <w:ind w:left="180" w:firstLine="4"/>
        <w:spacing w:after="0" w:line="256" w:lineRule="auto"/>
        <w:tabs>
          <w:tab w:leader="none" w:pos="485" w:val="left"/>
        </w:tabs>
        <w:numPr>
          <w:ilvl w:val="0"/>
          <w:numId w:val="68"/>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(A) no amendment, waiver or consent shall, unless in writing and signed by the L/C Issuer in addition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Lenders required above, affect the rights or duties of the L/C Issuer under this Agreement or any Issuer Document relating to any Letter of Credit issued or to be issued by it; (B) no amendment, waiver or consent shall, unless in writing and signed by the </w:t>
      </w:r>
      <w:r>
        <w:rPr>
          <w:rFonts w:ascii="Times New Roman" w:cs="Times New Roman" w:eastAsia="Times New Roman" w:hAnsi="Times New Roman"/>
          <w:sz w:val="18"/>
          <w:szCs w:val="18"/>
          <w:color w:val="FF0000"/>
          <w:strike w:val="1"/>
        </w:rPr>
        <w:t>Swingline Lender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addition to the Lenders required above, affect the rights or duties of the Swingline Lender under this Agreement; (C) no amendment, waiver or consent shall, unless in writing and signed by the </w:t>
      </w:r>
      <w:r>
        <w:rPr>
          <w:rFonts w:ascii="Times New Roman" w:cs="Times New Roman" w:eastAsia="Times New Roman" w:hAnsi="Times New Roman"/>
          <w:sz w:val="18"/>
          <w:szCs w:val="18"/>
          <w:color w:val="000000"/>
          <w:strike w:val="1"/>
        </w:rPr>
        <w:t>Administrative Agent in addition to the Lenders required above, affect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rights or duties of the Administrative Agent under this Agreement or any other Loan Document; and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strike w:val="1"/>
        </w:rPr>
        <w:t>C</w:t>
      </w:r>
      <w:r>
        <w:rPr>
          <w:rFonts w:ascii="Times New Roman" w:cs="Times New Roman" w:eastAsia="Times New Roman" w:hAnsi="Times New Roman"/>
          <w:sz w:val="18"/>
          <w:szCs w:val="18"/>
          <w:color w:val="000000"/>
          <w:strike w:val="1"/>
        </w:rPr>
        <w:t>) the Fee Letter may be amended, or rights or privileges thereunder waived, in a writing executed only by the parties thereto.</w:t>
      </w:r>
    </w:p>
    <w:p>
      <w:pPr>
        <w:spacing w:after="0" w:line="18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(b)            Notwithstanding anything to the contrary herein, (i)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(A) the Commitment of any Defaulting Lender may not be increased or extended without the consent of such Defaulting Lender and (B)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spacing w:after="0" w:line="200" w:lineRule="exact"/>
        <w:rPr>
          <w:sz w:val="20"/>
          <w:szCs w:val="20"/>
          <w:color w:val="auto"/>
        </w:rPr>
      </w:pPr>
    </w:p>
    <w:p>
      <w:pPr>
        <w:spacing w:after="0" w:line="20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9" w:name="page170"/>
    <w:bookmarkEnd w:id="169"/>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(c)            Notwithstanding anything to the contrary herein,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83"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(d)            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79"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11.02.</w:t>
      </w:r>
      <w:r>
        <w:rPr>
          <w:sz w:val="20"/>
          <w:szCs w:val="20"/>
          <w:color w:val="auto"/>
        </w:rPr>
        <w:tab/>
      </w:r>
      <w:r>
        <w:rPr>
          <w:rFonts w:ascii="Times New Roman" w:cs="Times New Roman" w:eastAsia="Times New Roman" w:hAnsi="Times New Roman"/>
          <w:sz w:val="17"/>
          <w:szCs w:val="17"/>
          <w:color w:val="auto"/>
        </w:rPr>
        <w:t>Notices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Effectiveness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Electronic Communications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183"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            if to the Borrower or any other Loan Party, the Administrative Agent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the L/C Issuer </w:t>
      </w:r>
      <w:r>
        <w:rPr>
          <w:rFonts w:ascii="Times New Roman" w:cs="Times New Roman" w:eastAsia="Times New Roman" w:hAnsi="Times New Roman"/>
          <w:sz w:val="18"/>
          <w:szCs w:val="18"/>
          <w:color w:val="FF0000"/>
          <w:strike w:val="1"/>
        </w:rPr>
        <w:t>or the Swingline Lender</w:t>
      </w:r>
      <w:r>
        <w:rPr>
          <w:rFonts w:ascii="Times New Roman" w:cs="Times New Roman" w:eastAsia="Times New Roman" w:hAnsi="Times New Roman"/>
          <w:sz w:val="18"/>
          <w:szCs w:val="18"/>
          <w:color w:val="auto"/>
        </w:rPr>
        <w:t xml:space="preserve">, to the address, fax number, e-mail address or telephone number specified for such Person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            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0" w:name="page171"/>
    <w:bookmarkEnd w:id="170"/>
    <w:p>
      <w:pPr>
        <w:ind w:left="1460" w:hanging="642"/>
        <w:spacing w:after="0"/>
        <w:tabs>
          <w:tab w:leader="none" w:pos="1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Communications.</w:t>
      </w:r>
    </w:p>
    <w:p>
      <w:pPr>
        <w:spacing w:after="0" w:line="225" w:lineRule="exact"/>
        <w:rPr>
          <w:sz w:val="20"/>
          <w:szCs w:val="20"/>
          <w:color w:val="auto"/>
        </w:rPr>
      </w:pPr>
    </w:p>
    <w:p>
      <w:pPr>
        <w:jc w:val="both"/>
        <w:ind w:left="840" w:firstLine="700"/>
        <w:spacing w:after="0" w:line="254" w:lineRule="auto"/>
        <w:rPr>
          <w:sz w:val="20"/>
          <w:szCs w:val="20"/>
          <w:color w:val="auto"/>
        </w:rPr>
      </w:pPr>
      <w:r>
        <w:rPr>
          <w:rFonts w:ascii="Times New Roman" w:cs="Times New Roman" w:eastAsia="Times New Roman" w:hAnsi="Times New Roman"/>
          <w:sz w:val="18"/>
          <w:szCs w:val="18"/>
          <w:color w:val="auto"/>
        </w:rPr>
        <w:t>(i)            Notices and other communications to the Administrative Agent, the Lenders</w:t>
      </w:r>
      <w:r>
        <w:rPr>
          <w:rFonts w:ascii="Times New Roman" w:cs="Times New Roman" w:eastAsia="Times New Roman" w:hAnsi="Times New Roman"/>
          <w:sz w:val="18"/>
          <w:szCs w:val="18"/>
          <w:color w:val="FF0000"/>
          <w:strike w:val="1"/>
        </w:rPr>
        <w:t>, the Swingline Lender</w:t>
      </w:r>
      <w:r>
        <w:rPr>
          <w:rFonts w:ascii="Times New Roman" w:cs="Times New Roman" w:eastAsia="Times New Roman" w:hAnsi="Times New Roman"/>
          <w:sz w:val="18"/>
          <w:szCs w:val="18"/>
          <w:color w:val="auto"/>
        </w:rPr>
        <w:t xml:space="preserve"> and the L/C Issuer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shall not apply to notices to any Lender</w:t>
      </w:r>
      <w:r>
        <w:rPr>
          <w:rFonts w:ascii="Times New Roman" w:cs="Times New Roman" w:eastAsia="Times New Roman" w:hAnsi="Times New Roman"/>
          <w:sz w:val="18"/>
          <w:szCs w:val="18"/>
          <w:color w:val="FF0000"/>
          <w:strike w:val="1"/>
        </w:rPr>
        <w: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Swingline Lender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the L/C Issuer pursuant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Article II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if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Lender, the Swingline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Lender or the L/C Issuer, as applicable,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has notified the Administrative Agent that it is incapable of receiving notices under such </w:t>
      </w:r>
      <w:r>
        <w:rPr>
          <w:rFonts w:ascii="Times New Roman" w:cs="Times New Roman" w:eastAsia="Times New Roman" w:hAnsi="Times New Roman"/>
          <w:sz w:val="18"/>
          <w:szCs w:val="18"/>
          <w:u w:val="single" w:color="auto"/>
          <w:color w:val="000000"/>
        </w:rPr>
        <w:t>Article II</w:t>
      </w:r>
      <w:r>
        <w:rPr>
          <w:rFonts w:ascii="Times New Roman" w:cs="Times New Roman" w:eastAsia="Times New Roman" w:hAnsi="Times New Roman"/>
          <w:sz w:val="18"/>
          <w:szCs w:val="18"/>
          <w:color w:val="000000"/>
        </w:rPr>
        <w:t xml:space="preserve"> by electronic communication. The Administrative Agent</w:t>
      </w:r>
      <w:r>
        <w:rPr>
          <w:rFonts w:ascii="Times New Roman" w:cs="Times New Roman" w:eastAsia="Times New Roman" w:hAnsi="Times New Roman"/>
          <w:sz w:val="18"/>
          <w:szCs w:val="18"/>
          <w:color w:val="FF0000"/>
          <w:strike w:val="1"/>
        </w:rPr>
        <w:t>, the Swingline Lender</w:t>
      </w:r>
      <w:r>
        <w:rPr>
          <w:rFonts w:ascii="Times New Roman" w:cs="Times New Roman" w:eastAsia="Times New Roman" w:hAnsi="Times New Roman"/>
          <w:sz w:val="18"/>
          <w:szCs w:val="18"/>
          <w:color w:val="000000"/>
        </w:rPr>
        <w:t xml:space="preserve">, the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however</w:t>
      </w:r>
      <w:r>
        <w:rPr>
          <w:rFonts w:ascii="Times New Roman" w:cs="Times New Roman" w:eastAsia="Times New Roman" w:hAnsi="Times New Roman"/>
          <w:sz w:val="18"/>
          <w:szCs w:val="18"/>
          <w:color w:val="000000"/>
        </w:rPr>
        <w:t>, that approval of such procedures may be limited to particular notices or communications.</w:t>
      </w:r>
    </w:p>
    <w:p>
      <w:pPr>
        <w:spacing w:after="0" w:line="188" w:lineRule="exact"/>
        <w:rPr>
          <w:sz w:val="20"/>
          <w:szCs w:val="20"/>
          <w:color w:val="auto"/>
        </w:rPr>
      </w:pPr>
    </w:p>
    <w:p>
      <w:pPr>
        <w:jc w:val="both"/>
        <w:ind w:left="8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and (B), if such notice or other communication is not sent during the normal business hours of the recipient, such notice, email or communication shall be deemed to have been sent at the opening of business on the next Business Day for the recipient.</w:t>
      </w:r>
    </w:p>
    <w:p>
      <w:pPr>
        <w:spacing w:after="0" w:line="188"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i w:val="1"/>
          <w:iCs w:val="1"/>
          <w:u w:val="single" w:color="auto"/>
          <w:color w:val="auto"/>
        </w:rPr>
        <w:t>Agent Parties</w:t>
      </w:r>
      <w:r>
        <w:rPr>
          <w:rFonts w:ascii="Times New Roman" w:cs="Times New Roman" w:eastAsia="Times New Roman" w:hAnsi="Times New Roman"/>
          <w:sz w:val="18"/>
          <w:szCs w:val="18"/>
          <w:color w:val="auto"/>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192"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Change of Address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Etc</w:t>
      </w:r>
      <w:r>
        <w:rPr>
          <w:rFonts w:ascii="Times New Roman" w:cs="Times New Roman" w:eastAsia="Times New Roman" w:hAnsi="Times New Roman"/>
          <w:sz w:val="18"/>
          <w:szCs w:val="18"/>
          <w:color w:val="auto"/>
        </w:rPr>
        <w:t>. Each of the Borrower, the Administrative Agent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the L/C Issuer </w:t>
      </w:r>
      <w:r>
        <w:rPr>
          <w:rFonts w:ascii="Times New Roman" w:cs="Times New Roman" w:eastAsia="Times New Roman" w:hAnsi="Times New Roman"/>
          <w:sz w:val="18"/>
          <w:szCs w:val="18"/>
          <w:color w:val="FF0000"/>
          <w:strike w:val="1"/>
        </w:rPr>
        <w:t>and the Swingline Lender</w:t>
      </w:r>
      <w:r>
        <w:rPr>
          <w:rFonts w:ascii="Times New Roman" w:cs="Times New Roman" w:eastAsia="Times New Roman" w:hAnsi="Times New Roman"/>
          <w:sz w:val="18"/>
          <w:szCs w:val="18"/>
          <w:color w:val="auto"/>
        </w:rPr>
        <w:t xml:space="preserve">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the Administrative Agent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the L/C Issuer </w:t>
      </w:r>
      <w:r>
        <w:rPr>
          <w:rFonts w:ascii="Times New Roman" w:cs="Times New Roman" w:eastAsia="Times New Roman" w:hAnsi="Times New Roman"/>
          <w:sz w:val="18"/>
          <w:szCs w:val="18"/>
          <w:color w:val="FF0000"/>
          <w:strike w:val="1"/>
        </w:rPr>
        <w:t>and the Swingline Lender</w:t>
      </w:r>
      <w:r>
        <w:rPr>
          <w:rFonts w:ascii="Times New Roman" w:cs="Times New Roman" w:eastAsia="Times New Roman" w:hAnsi="Times New Roman"/>
          <w:sz w:val="18"/>
          <w:szCs w:val="18"/>
          <w:color w:val="auto"/>
        </w:rPr>
        <w:t>. In addition, each Lender agrees to notify the Administrative Agent from time to time to ensure that the Administrative Agent has on record</w:t>
      </w:r>
    </w:p>
    <w:p>
      <w:pPr>
        <w:spacing w:after="0" w:line="3" w:lineRule="exact"/>
        <w:rPr>
          <w:sz w:val="20"/>
          <w:szCs w:val="20"/>
          <w:color w:val="auto"/>
        </w:rPr>
      </w:pPr>
    </w:p>
    <w:p>
      <w:pPr>
        <w:jc w:val="both"/>
        <w:ind w:left="180" w:firstLine="4"/>
        <w:spacing w:after="0" w:line="252" w:lineRule="auto"/>
        <w:tabs>
          <w:tab w:leader="none" w:pos="3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200" w:lineRule="exact"/>
        <w:rPr>
          <w:sz w:val="20"/>
          <w:szCs w:val="20"/>
          <w:color w:val="auto"/>
        </w:rPr>
      </w:pPr>
    </w:p>
    <w:p>
      <w:pPr>
        <w:spacing w:after="0" w:line="20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1" w:name="page172"/>
    <w:bookmarkEnd w:id="171"/>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Reliance by Administrative Agent, L/C Issuer and Lenders</w:t>
      </w:r>
      <w:r>
        <w:rPr>
          <w:rFonts w:ascii="Times New Roman" w:cs="Times New Roman" w:eastAsia="Times New Roman" w:hAnsi="Times New Roman"/>
          <w:sz w:val="18"/>
          <w:szCs w:val="18"/>
          <w:color w:val="auto"/>
        </w:rPr>
        <w:t>. The Administrative Agent, the L/C Issuer and the Lenders shall be entitled to rely and act upon any notices (including, without limitation, telephonic or electronic notices, Loan Notices, Letter of Credit Applications</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Notice of Loan Prepayment </w:t>
      </w:r>
      <w:r>
        <w:rPr>
          <w:rFonts w:ascii="Times New Roman" w:cs="Times New Roman" w:eastAsia="Times New Roman" w:hAnsi="Times New Roman"/>
          <w:sz w:val="18"/>
          <w:szCs w:val="18"/>
          <w:color w:val="FF0000"/>
          <w:strike w:val="1"/>
        </w:rPr>
        <w:t>and Swingline Loan Notices</w:t>
      </w:r>
      <w:r>
        <w:rPr>
          <w:rFonts w:ascii="Times New Roman" w:cs="Times New Roman" w:eastAsia="Times New Roman" w:hAnsi="Times New Roman"/>
          <w:sz w:val="18"/>
          <w:szCs w:val="18"/>
          <w:color w:val="auto"/>
        </w:rPr>
        <w:t>)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84"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11.03.</w:t>
      </w:r>
      <w:r>
        <w:rPr>
          <w:sz w:val="20"/>
          <w:szCs w:val="20"/>
          <w:color w:val="auto"/>
        </w:rPr>
        <w:tab/>
      </w:r>
      <w:r>
        <w:rPr>
          <w:rFonts w:ascii="Times New Roman" w:cs="Times New Roman" w:eastAsia="Times New Roman" w:hAnsi="Times New Roman"/>
          <w:sz w:val="17"/>
          <w:szCs w:val="17"/>
          <w:color w:val="auto"/>
        </w:rPr>
        <w:t>No Waiver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Cumulative Remedies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Enforcement.</w:t>
      </w:r>
    </w:p>
    <w:p>
      <w:pPr>
        <w:spacing w:after="0" w:line="229"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(a)            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7"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and the L/C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w:t>
      </w:r>
      <w:r>
        <w:rPr>
          <w:rFonts w:ascii="Times New Roman" w:cs="Times New Roman" w:eastAsia="Times New Roman" w:hAnsi="Times New Roman"/>
          <w:sz w:val="18"/>
          <w:szCs w:val="18"/>
          <w:color w:val="FF0000"/>
          <w:strike w:val="1"/>
        </w:rPr>
        <w:t>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Swingline Lender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from exercising the rights and remedies that inure to its benefit (solely in its capacity as L/C Issuer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or Swingline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Lender, as the case may be</w:t>
      </w:r>
      <w:r>
        <w:rPr>
          <w:rFonts w:ascii="Times New Roman" w:cs="Times New Roman" w:eastAsia="Times New Roman" w:hAnsi="Times New Roman"/>
          <w:sz w:val="18"/>
          <w:szCs w:val="18"/>
          <w:color w:val="000000"/>
        </w:rPr>
        <w:t>) hereunder and under the other Loan Documents, (c) any Lender from exercising setoff rights in accordance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with </w:t>
      </w:r>
      <w:r>
        <w:rPr>
          <w:rFonts w:ascii="Times New Roman" w:cs="Times New Roman" w:eastAsia="Times New Roman" w:hAnsi="Times New Roman"/>
          <w:sz w:val="18"/>
          <w:szCs w:val="18"/>
          <w:u w:val="single" w:color="auto"/>
          <w:color w:val="000000"/>
        </w:rPr>
        <w:t>Section 11.08</w:t>
      </w:r>
      <w:r>
        <w:rPr>
          <w:rFonts w:ascii="Times New Roman" w:cs="Times New Roman" w:eastAsia="Times New Roman" w:hAnsi="Times New Roman"/>
          <w:sz w:val="18"/>
          <w:szCs w:val="18"/>
          <w:color w:val="000000"/>
        </w:rPr>
        <w:t xml:space="preserve"> (subject to the terms of </w:t>
      </w:r>
      <w:r>
        <w:rPr>
          <w:rFonts w:ascii="Times New Roman" w:cs="Times New Roman" w:eastAsia="Times New Roman" w:hAnsi="Times New Roman"/>
          <w:sz w:val="18"/>
          <w:szCs w:val="18"/>
          <w:u w:val="single" w:color="auto"/>
          <w:color w:val="000000"/>
        </w:rPr>
        <w:t>Section 2.13</w:t>
      </w:r>
      <w:r>
        <w:rPr>
          <w:rFonts w:ascii="Times New Roman" w:cs="Times New Roman" w:eastAsia="Times New Roman" w:hAnsi="Times New Roman"/>
          <w:sz w:val="18"/>
          <w:szCs w:val="18"/>
          <w:color w:val="000000"/>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further</w:t>
      </w:r>
      <w:r>
        <w:rPr>
          <w:rFonts w:ascii="Times New Roman" w:cs="Times New Roman" w:eastAsia="Times New Roman" w:hAnsi="Times New Roman"/>
          <w:sz w:val="18"/>
          <w:szCs w:val="18"/>
          <w:color w:val="000000"/>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000000"/>
        </w:rPr>
        <w:t>Section 8.02</w:t>
      </w:r>
      <w:r>
        <w:rPr>
          <w:rFonts w:ascii="Times New Roman" w:cs="Times New Roman" w:eastAsia="Times New Roman" w:hAnsi="Times New Roman"/>
          <w:sz w:val="18"/>
          <w:szCs w:val="18"/>
          <w:color w:val="000000"/>
        </w:rPr>
        <w:t xml:space="preserve"> and (ii) in addition to the matters set forth in </w:t>
      </w:r>
      <w:r>
        <w:rPr>
          <w:rFonts w:ascii="Times New Roman" w:cs="Times New Roman" w:eastAsia="Times New Roman" w:hAnsi="Times New Roman"/>
          <w:sz w:val="18"/>
          <w:szCs w:val="18"/>
          <w:u w:val="single" w:color="auto"/>
          <w:color w:val="000000"/>
        </w:rPr>
        <w:t>clauses (b</w:t>
      </w:r>
      <w:r>
        <w:rPr>
          <w:rFonts w:ascii="Times New Roman" w:cs="Times New Roman" w:eastAsia="Times New Roman" w:hAnsi="Times New Roman"/>
          <w:sz w:val="18"/>
          <w:szCs w:val="18"/>
          <w:color w:val="000000"/>
        </w:rPr>
        <w:t xml:space="preserve">), (c) and (d) of the preceding proviso and subject to </w:t>
      </w:r>
      <w:r>
        <w:rPr>
          <w:rFonts w:ascii="Times New Roman" w:cs="Times New Roman" w:eastAsia="Times New Roman" w:hAnsi="Times New Roman"/>
          <w:sz w:val="18"/>
          <w:szCs w:val="18"/>
          <w:u w:val="single" w:color="auto"/>
          <w:color w:val="000000"/>
        </w:rPr>
        <w:t>Section 2.13</w:t>
      </w:r>
      <w:r>
        <w:rPr>
          <w:rFonts w:ascii="Times New Roman" w:cs="Times New Roman" w:eastAsia="Times New Roman" w:hAnsi="Times New Roman"/>
          <w:sz w:val="18"/>
          <w:szCs w:val="18"/>
          <w:color w:val="000000"/>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1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2" w:name="page173"/>
    <w:bookmarkEnd w:id="172"/>
    <w:p>
      <w:pPr>
        <w:ind w:left="18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11.04.</w:t>
      </w:r>
      <w:r>
        <w:rPr>
          <w:sz w:val="20"/>
          <w:szCs w:val="20"/>
          <w:color w:val="auto"/>
        </w:rPr>
        <w:tab/>
      </w:r>
      <w:r>
        <w:rPr>
          <w:rFonts w:ascii="Times New Roman" w:cs="Times New Roman" w:eastAsia="Times New Roman" w:hAnsi="Times New Roman"/>
          <w:sz w:val="17"/>
          <w:szCs w:val="17"/>
          <w:color w:val="auto"/>
        </w:rPr>
        <w:t>Expenses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Indemnity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Damage Waiver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Costs and Expenses</w:t>
      </w:r>
      <w:r>
        <w:rPr>
          <w:rFonts w:ascii="Times New Roman" w:cs="Times New Roman" w:eastAsia="Times New Roman" w:hAnsi="Times New Roman"/>
          <w:sz w:val="18"/>
          <w:szCs w:val="18"/>
          <w:color w:val="auto"/>
        </w:rPr>
        <w:t xml:space="preserve">. The Borrower shall pay (i) all reasonable and documented out-of-pocket expenses incurred by the Administrative Agent and its Affiliates (including, but not limited to, (A) the reasonable fees, charges and disbursements of counsel and other Related Parties for the Administrative Agent and its Affiliates and (B) due diligence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extension, reinstatement or renewal of any Letter of Credit or any demand for payment thereunder and (iii) all reasonable and documented out-of-pocket expenses incurred by the Administrative Agent, any Lender or the L/C Issuer (including the fees, charges and disbursements of any counsel and other Related Parties for the Administrative Agent, any Lender or the L/C Issuer), in connection with the enforcement or protection of its rights (A) in connection with this Agreement and the other Loan Documents, including its rights under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(B) in connection with Loans made or Letters of Credit issued hereunder, including all such reasonable and documented out-of-pocket expenses incurred during any workout, restructuring or negotiations in respect of such Loans or Letters of Credit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 (C) in connection with any field exams, equipment appraisals,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 xml:space="preserve">appraisals or enterprise valuations conducted at the request of the Administrative Agent;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however</w:t>
      </w:r>
      <w:r>
        <w:rPr>
          <w:rFonts w:ascii="Times New Roman" w:cs="Times New Roman" w:eastAsia="Times New Roman" w:hAnsi="Times New Roman"/>
          <w:sz w:val="18"/>
          <w:szCs w:val="18"/>
          <w:u w:val="single" w:color="auto"/>
          <w:color w:val="0000FF"/>
        </w:rPr>
        <w:t xml:space="preserve">, that such field exams, equipment appraisals, real property appraisals and enterprise valuations shall be prepared for the sole and exclusive benefit of the Administrative Agent, the Lenders and their respective advisors; </w:t>
      </w:r>
      <w:r>
        <w:rPr>
          <w:rFonts w:ascii="Times New Roman" w:cs="Times New Roman" w:eastAsia="Times New Roman" w:hAnsi="Times New Roman"/>
          <w:sz w:val="18"/>
          <w:szCs w:val="18"/>
          <w:i w:val="1"/>
          <w:iCs w:val="1"/>
          <w:u w:val="single" w:color="auto"/>
          <w:color w:val="0000FF"/>
        </w:rPr>
        <w:t>provided further</w:t>
      </w:r>
      <w:r>
        <w:rPr>
          <w:rFonts w:ascii="Times New Roman" w:cs="Times New Roman" w:eastAsia="Times New Roman" w:hAnsi="Times New Roman"/>
          <w:sz w:val="18"/>
          <w:szCs w:val="18"/>
          <w:u w:val="single" w:color="auto"/>
          <w:color w:val="0000FF"/>
        </w:rPr>
        <w:t>, that the Borrower’s reimbursement obligations with respect to fees and expenses incurred in connection with any field exams, equipment appraisals, real property appraisals or enterprise valuations shall be limited to one such field exam, equipment appraisal, real property appraisal and enterprise valuation for each fiscal year, unless an Event of Default has occurred and is continuing.</w:t>
      </w:r>
    </w:p>
    <w:p>
      <w:pPr>
        <w:spacing w:after="0" w:line="191" w:lineRule="exact"/>
        <w:rPr>
          <w:sz w:val="20"/>
          <w:szCs w:val="20"/>
          <w:color w:val="auto"/>
        </w:rPr>
      </w:pPr>
    </w:p>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by the Borrower</w:t>
      </w:r>
      <w:r>
        <w:rPr>
          <w:rFonts w:ascii="Times New Roman" w:cs="Times New Roman" w:eastAsia="Times New Roman" w:hAnsi="Times New Roman"/>
          <w:sz w:val="18"/>
          <w:szCs w:val="18"/>
          <w:color w:val="auto"/>
        </w:rPr>
        <w:t>. The Borrower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18"/>
          <w:szCs w:val="18"/>
          <w:i w:val="1"/>
          <w:iCs w:val="1"/>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(including, without limitation, the reasonable and documented out-of-pocket fees and disbursements of (x) a single firm as primary counsel for the Administrative Agent, along with, if reasonably necessary, such local counsel as may be required by the Administrative Agent, and of a single firm of local counsel in each relevant jurisdiction and (y) a single firm as primary counsel for all the Lenders, along with, if reasonably necessary, such local counsel as may be required by the Lenders, and of a single firm of local counsel in each relevant jurisdiction, and in the event of any actual or potential conflict of interest (as reasonably determined by the applicable Persons), one additional firm of counsel to each group of similarly affected Persons)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are found in a final, non-appealable judgment by a court of competent jurisdiction (i) to have resulted from such Indemnitee’s (or any of its Related Parties’) gross negligence or willful misconduct or any material breach of such Indemnitee’s (or its Related Parties) obligations hereunder or under any other Loan Document or (ii) to be a dispute solely between and among Indemnitees (other than any claims against an Indemnitee in its capacity or in fulfilling its role as Administrative Agent or an Arranger) to the extent such claims do not arise from any act or omission on the part of the Borrower or any of its Subsidiaries. Without limiting the provisions of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 shall not apply with respect to Taxes other than any Taxes that represent losses, claims, damages, etc. arising from any non-Tax claim.</w:t>
      </w:r>
    </w:p>
    <w:p>
      <w:pPr>
        <w:spacing w:after="0" w:line="200" w:lineRule="exact"/>
        <w:rPr>
          <w:sz w:val="20"/>
          <w:szCs w:val="20"/>
          <w:color w:val="auto"/>
        </w:rPr>
      </w:pPr>
    </w:p>
    <w:p>
      <w:pPr>
        <w:spacing w:after="0" w:line="21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73" w:name="page174"/>
    <w:bookmarkEnd w:id="173"/>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Reimbursement by Lenders</w:t>
      </w:r>
      <w:r>
        <w:rPr>
          <w:rFonts w:ascii="Times New Roman" w:cs="Times New Roman" w:eastAsia="Times New Roman" w:hAnsi="Times New Roman"/>
          <w:sz w:val="18"/>
          <w:szCs w:val="18"/>
          <w:color w:val="auto"/>
        </w:rPr>
        <w:t xml:space="preserve">. To the extent that the Borrower for any reason fails to indefeasibly pay any amount required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(b) of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to be paid by it to the Administrative Agent (or any sub-agent thereof), the L/C Issuer</w:t>
      </w:r>
      <w:r>
        <w:rPr>
          <w:rFonts w:ascii="Times New Roman" w:cs="Times New Roman" w:eastAsia="Times New Roman" w:hAnsi="Times New Roman"/>
          <w:sz w:val="18"/>
          <w:szCs w:val="18"/>
          <w:color w:val="FF0000"/>
          <w:strike w:val="1"/>
        </w:rPr>
        <w: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Swingline Lender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any Related Party of any of the foregoing, each Lender severally agrees to pay to the Administrative Agent (or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such sub-agent), the L/C Issuer</w:t>
      </w:r>
      <w:r>
        <w:rPr>
          <w:rFonts w:ascii="Times New Roman" w:cs="Times New Roman" w:eastAsia="Times New Roman" w:hAnsi="Times New Roman"/>
          <w:sz w:val="18"/>
          <w:szCs w:val="18"/>
          <w:color w:val="FF0000"/>
          <w:strike w:val="1"/>
        </w:rPr>
        <w:t>, the Swingline Lender</w:t>
      </w:r>
      <w:r>
        <w:rPr>
          <w:rFonts w:ascii="Times New Roman" w:cs="Times New Roman" w:eastAsia="Times New Roman" w:hAnsi="Times New Roman"/>
          <w:sz w:val="18"/>
          <w:szCs w:val="18"/>
          <w:color w:val="000000"/>
        </w:rPr>
        <w:t xml:space="preserve">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00"/>
        </w:rPr>
        <w:t>however</w:t>
      </w:r>
      <w:r>
        <w:rPr>
          <w:rFonts w:ascii="Times New Roman" w:cs="Times New Roman" w:eastAsia="Times New Roman" w:hAnsi="Times New Roman"/>
          <w:sz w:val="18"/>
          <w:szCs w:val="18"/>
          <w:color w:val="000000"/>
        </w:rPr>
        <w:t xml:space="preserve">, that the unreimbursed expense or indemnified loss, claim, damage, liability or related expense, as the case may be, was incurred by or asserted against the Administrative Agent (or any such sub-agent), the L/C Issuer </w:t>
      </w:r>
      <w:r>
        <w:rPr>
          <w:rFonts w:ascii="Times New Roman" w:cs="Times New Roman" w:eastAsia="Times New Roman" w:hAnsi="Times New Roman"/>
          <w:sz w:val="18"/>
          <w:szCs w:val="18"/>
          <w:color w:val="FF0000"/>
          <w:strike w:val="1"/>
        </w:rPr>
        <w:t>or the Swingline Lender</w:t>
      </w:r>
      <w:r>
        <w:rPr>
          <w:rFonts w:ascii="Times New Roman" w:cs="Times New Roman" w:eastAsia="Times New Roman" w:hAnsi="Times New Roman"/>
          <w:sz w:val="18"/>
          <w:szCs w:val="18"/>
          <w:color w:val="000000"/>
        </w:rPr>
        <w:t xml:space="preserve"> in its capacity as such, or against any Related Party of any of the foregoing acting for the Administrative Agent (or any such sub-agent)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000000"/>
        </w:rPr>
        <w:t xml:space="preserve"> the L/C Issuer </w:t>
      </w:r>
      <w:r>
        <w:rPr>
          <w:rFonts w:ascii="Times New Roman" w:cs="Times New Roman" w:eastAsia="Times New Roman" w:hAnsi="Times New Roman"/>
          <w:sz w:val="18"/>
          <w:szCs w:val="18"/>
          <w:color w:val="FF0000"/>
          <w:strike w:val="1"/>
        </w:rPr>
        <w:t>or the Swingline Lender</w:t>
      </w:r>
      <w:r>
        <w:rPr>
          <w:rFonts w:ascii="Times New Roman" w:cs="Times New Roman" w:eastAsia="Times New Roman" w:hAnsi="Times New Roman"/>
          <w:sz w:val="18"/>
          <w:szCs w:val="18"/>
          <w:color w:val="000000"/>
        </w:rPr>
        <w:t xml:space="preserve"> in connection with such capacity. The obligations of the Lenders under this </w:t>
      </w:r>
      <w:r>
        <w:rPr>
          <w:rFonts w:ascii="Times New Roman" w:cs="Times New Roman" w:eastAsia="Times New Roman" w:hAnsi="Times New Roman"/>
          <w:sz w:val="18"/>
          <w:szCs w:val="18"/>
          <w:u w:val="single" w:color="auto"/>
          <w:color w:val="000000"/>
        </w:rPr>
        <w:t>clause (c)</w:t>
      </w:r>
      <w:r>
        <w:rPr>
          <w:rFonts w:ascii="Times New Roman" w:cs="Times New Roman" w:eastAsia="Times New Roman" w:hAnsi="Times New Roman"/>
          <w:sz w:val="18"/>
          <w:szCs w:val="18"/>
          <w:color w:val="000000"/>
        </w:rPr>
        <w:t xml:space="preserve"> are subject to the provisions of </w:t>
      </w:r>
      <w:r>
        <w:rPr>
          <w:rFonts w:ascii="Times New Roman" w:cs="Times New Roman" w:eastAsia="Times New Roman" w:hAnsi="Times New Roman"/>
          <w:sz w:val="18"/>
          <w:szCs w:val="18"/>
          <w:u w:val="single" w:color="auto"/>
          <w:color w:val="000000"/>
        </w:rPr>
        <w:t>Section 2.12(d</w:t>
      </w:r>
      <w:r>
        <w:rPr>
          <w:rFonts w:ascii="Times New Roman" w:cs="Times New Roman" w:eastAsia="Times New Roman" w:hAnsi="Times New Roman"/>
          <w:sz w:val="18"/>
          <w:szCs w:val="18"/>
          <w:color w:val="000000"/>
        </w:rPr>
        <w:t>).</w:t>
      </w:r>
    </w:p>
    <w:p>
      <w:pPr>
        <w:spacing w:after="0" w:line="190"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Waiver of Consequential Damages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Etc</w:t>
      </w:r>
      <w:r>
        <w:rPr>
          <w:rFonts w:ascii="Times New Roman" w:cs="Times New Roman" w:eastAsia="Times New Roman" w:hAnsi="Times New Roman"/>
          <w:sz w:val="18"/>
          <w:szCs w:val="18"/>
          <w:color w:val="auto"/>
        </w:rPr>
        <w:t>. To the fullest extent permitted by Applicable Law, each party hereto hereby waives, and acknowledges that no other Person shall have, any claim against the Administrative Agent (and any sub-agent thereof), each Lender</w:t>
      </w:r>
      <w:r>
        <w:rPr>
          <w:rFonts w:ascii="Times New Roman" w:cs="Times New Roman" w:eastAsia="Times New Roman" w:hAnsi="Times New Roman"/>
          <w:sz w:val="18"/>
          <w:szCs w:val="18"/>
          <w:color w:val="FF0000"/>
          <w:strike w:val="1"/>
        </w:rPr>
        <w:t>, the Swingline Lender</w:t>
      </w:r>
      <w:r>
        <w:rPr>
          <w:rFonts w:ascii="Times New Roman" w:cs="Times New Roman" w:eastAsia="Times New Roman" w:hAnsi="Times New Roman"/>
          <w:sz w:val="18"/>
          <w:szCs w:val="18"/>
          <w:color w:val="auto"/>
        </w:rPr>
        <w:t xml:space="preserve"> and the L/C Issuer, and each Related Party of any of the forgoing Persons, on any theory of liability, for special, indirect, consequential or punitive damages (as opposed to direct or actual damages), except to the extent the same are subject to the indemnity contained in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 xml:space="preserve">,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shall be liable for any damages arising from the use by unintended recipients of any information or other materials distributed to such unintended recipients by such Indemnitee or other party hereto through telecommunications, electronic or other information transmission systems in connection with this Agreement or the other Loan Documents or the transactions contemplated hereby or thereby other than for direct or actual damages from the gross negligence or willful misconduct of such Indemnitee or any of its Related Parties as determined by a final and non-appealable judgement of a court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11.04(d)</w:t>
      </w:r>
      <w:r>
        <w:rPr>
          <w:rFonts w:ascii="Times New Roman" w:cs="Times New Roman" w:eastAsia="Times New Roman" w:hAnsi="Times New Roman"/>
          <w:sz w:val="18"/>
          <w:szCs w:val="18"/>
          <w:color w:val="auto"/>
        </w:rPr>
        <w:t xml:space="preserve"> shall limit the Borrower’s indemnification obligations set forth in this Agreement.</w:t>
      </w:r>
    </w:p>
    <w:p>
      <w:pPr>
        <w:spacing w:after="0" w:line="200" w:lineRule="exact"/>
        <w:rPr>
          <w:sz w:val="20"/>
          <w:szCs w:val="20"/>
          <w:color w:val="auto"/>
        </w:rPr>
      </w:pPr>
    </w:p>
    <w:p>
      <w:pPr>
        <w:spacing w:after="0" w:line="20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4" w:name="page175"/>
    <w:bookmarkEnd w:id="174"/>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xml:space="preserve">. All amounts due under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be payable not later than </w:t>
      </w:r>
      <w:r>
        <w:rPr>
          <w:rFonts w:ascii="Times New Roman" w:cs="Times New Roman" w:eastAsia="Times New Roman" w:hAnsi="Times New Roman"/>
          <w:sz w:val="18"/>
          <w:szCs w:val="18"/>
          <w:color w:val="FF0000"/>
          <w:strike w:val="1"/>
        </w:rPr>
        <w:t>ten</w:t>
      </w:r>
      <w:r>
        <w:rPr>
          <w:rFonts w:ascii="Times New Roman" w:cs="Times New Roman" w:eastAsia="Times New Roman" w:hAnsi="Times New Roman"/>
          <w:sz w:val="18"/>
          <w:szCs w:val="18"/>
          <w:u w:val="single" w:color="auto"/>
          <w:color w:val="0000FF"/>
        </w:rPr>
        <w:t>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Business Days after demand therefor.</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the indemnity provisions of </w:t>
      </w:r>
      <w:r>
        <w:rPr>
          <w:rFonts w:ascii="Times New Roman" w:cs="Times New Roman" w:eastAsia="Times New Roman" w:hAnsi="Times New Roman"/>
          <w:sz w:val="18"/>
          <w:szCs w:val="18"/>
          <w:u w:val="single" w:color="auto"/>
          <w:color w:val="auto"/>
        </w:rPr>
        <w:t>Section 11.02(e</w:t>
      </w:r>
      <w:r>
        <w:rPr>
          <w:rFonts w:ascii="Times New Roman" w:cs="Times New Roman" w:eastAsia="Times New Roman" w:hAnsi="Times New Roman"/>
          <w:sz w:val="18"/>
          <w:szCs w:val="18"/>
          <w:color w:val="auto"/>
        </w:rPr>
        <w:t>) shall survive the resignation of the Administrative Agent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the L/C Issuer </w:t>
      </w:r>
      <w:r>
        <w:rPr>
          <w:rFonts w:ascii="Times New Roman" w:cs="Times New Roman" w:eastAsia="Times New Roman" w:hAnsi="Times New Roman"/>
          <w:sz w:val="18"/>
          <w:szCs w:val="18"/>
          <w:color w:val="FF0000"/>
          <w:strike w:val="1"/>
        </w:rPr>
        <w:t>and the Swingline Lender</w:t>
      </w:r>
      <w:r>
        <w:rPr>
          <w:rFonts w:ascii="Times New Roman" w:cs="Times New Roman" w:eastAsia="Times New Roman" w:hAnsi="Times New Roman"/>
          <w:sz w:val="18"/>
          <w:szCs w:val="18"/>
          <w:color w:val="auto"/>
        </w:rPr>
        <w:t>, the replacement of any Lender, the termination of the Aggregate Commitments and the repayment, satisfaction or discharge of all the other Obligations.</w:t>
      </w:r>
    </w:p>
    <w:p>
      <w:pPr>
        <w:spacing w:after="0" w:line="17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11.05.</w:t>
      </w:r>
      <w:r>
        <w:rPr>
          <w:sz w:val="20"/>
          <w:szCs w:val="20"/>
          <w:color w:val="auto"/>
        </w:rPr>
        <w:tab/>
      </w:r>
      <w:r>
        <w:rPr>
          <w:rFonts w:ascii="Times New Roman" w:cs="Times New Roman" w:eastAsia="Times New Roman" w:hAnsi="Times New Roman"/>
          <w:sz w:val="17"/>
          <w:szCs w:val="17"/>
          <w:color w:val="auto"/>
        </w:rPr>
        <w:t>Payments Set Aside.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reasonable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of the preceding sentence shall survive the payment in full of the Obligations and the termination of this Agreement.</w:t>
      </w:r>
    </w:p>
    <w:p>
      <w:pPr>
        <w:spacing w:after="0" w:line="188"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11.06.</w:t>
      </w:r>
      <w:r>
        <w:rPr>
          <w:sz w:val="20"/>
          <w:szCs w:val="20"/>
          <w:color w:val="auto"/>
        </w:rPr>
        <w:tab/>
      </w:r>
      <w:r>
        <w:rPr>
          <w:rFonts w:ascii="Times New Roman" w:cs="Times New Roman" w:eastAsia="Times New Roman" w:hAnsi="Times New Roman"/>
          <w:sz w:val="17"/>
          <w:szCs w:val="17"/>
          <w:color w:val="auto"/>
        </w:rPr>
        <w:t>Successors and Assigns.</w:t>
      </w:r>
    </w:p>
    <w:p>
      <w:pPr>
        <w:spacing w:after="0" w:line="229"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Successors and Assigns Generally</w:t>
      </w:r>
      <w:r>
        <w:rPr>
          <w:rFonts w:ascii="Times New Roman" w:cs="Times New Roman" w:eastAsia="Times New Roman" w:hAnsi="Times New Roman"/>
          <w:sz w:val="18"/>
          <w:szCs w:val="18"/>
          <w:color w:val="auto"/>
        </w:rPr>
        <w:t xml:space="preserve">. The provisions of this Agreement and the other Loan Documents shall be binding upon and inure to the benefit of the parties hereto and thereto and their respective successors and assigns permitted hereby, except neither the Borrower nor any other Loan Party may assign or otherwise transfer any of its rights or obligations hereunder (other than in the case of any Loan Party to the extent expressly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or</w:t>
      </w:r>
    </w:p>
    <w:p>
      <w:pPr>
        <w:spacing w:after="0" w:line="5" w:lineRule="exact"/>
        <w:rPr>
          <w:sz w:val="20"/>
          <w:szCs w:val="20"/>
          <w:color w:val="auto"/>
        </w:rPr>
      </w:pPr>
    </w:p>
    <w:p>
      <w:pPr>
        <w:jc w:val="both"/>
        <w:ind w:left="640" w:firstLine="4"/>
        <w:spacing w:after="0" w:line="253" w:lineRule="auto"/>
        <w:tabs>
          <w:tab w:leader="none" w:pos="98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way of pledge or assignment of a security interest subject to the restrictions of </w:t>
      </w:r>
      <w:r>
        <w:rPr>
          <w:rFonts w:ascii="Times New Roman" w:cs="Times New Roman" w:eastAsia="Times New Roman" w:hAnsi="Times New Roman"/>
          <w:sz w:val="18"/>
          <w:szCs w:val="18"/>
          <w:u w:val="single" w:color="auto"/>
          <w:color w:val="auto"/>
        </w:rPr>
        <w:t>Section 11.06(e</w:t>
      </w:r>
      <w:r>
        <w:rPr>
          <w:rFonts w:ascii="Times New Roman" w:cs="Times New Roman" w:eastAsia="Times New Roman" w:hAnsi="Times New Roman"/>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and, to the extent expressly contemplated hereby, the Related Parties of each of the Administrative Agent, the L/C Issuer and the Lenders) any legal or equitable right, remedy or claim under or by reason of this Agreement.</w:t>
      </w:r>
    </w:p>
    <w:p>
      <w:pPr>
        <w:spacing w:after="0" w:line="200" w:lineRule="exact"/>
        <w:rPr>
          <w:sz w:val="20"/>
          <w:szCs w:val="20"/>
          <w:color w:val="auto"/>
        </w:rPr>
      </w:pPr>
    </w:p>
    <w:p>
      <w:pPr>
        <w:spacing w:after="0" w:line="20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5" w:name="page176"/>
    <w:bookmarkEnd w:id="175"/>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and the other Loan Documents (including all or a portion of its Commitment(s) and the Loans (including for purposes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participations in L/C Obligations </w:t>
      </w:r>
      <w:r>
        <w:rPr>
          <w:rFonts w:ascii="Times New Roman" w:cs="Times New Roman" w:eastAsia="Times New Roman" w:hAnsi="Times New Roman"/>
          <w:sz w:val="18"/>
          <w:szCs w:val="18"/>
          <w:color w:val="FF0000"/>
          <w:strike w:val="1"/>
        </w:rPr>
        <w:t>and in Swingline Loans</w:t>
      </w:r>
      <w:r>
        <w:rPr>
          <w:rFonts w:ascii="Times New Roman" w:cs="Times New Roman" w:eastAsia="Times New Roman" w:hAnsi="Times New Roman"/>
          <w:sz w:val="18"/>
          <w:szCs w:val="18"/>
          <w:color w:val="auto"/>
        </w:rPr>
        <w:t xml:space="preserve">) at the time owing to it);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each case with respect to any Facility) any such assignment shall be subject to the following conditions:</w:t>
      </w:r>
    </w:p>
    <w:p>
      <w:pPr>
        <w:spacing w:after="0" w:line="180" w:lineRule="exact"/>
        <w:rPr>
          <w:sz w:val="20"/>
          <w:szCs w:val="20"/>
          <w:color w:val="auto"/>
        </w:rPr>
      </w:pPr>
    </w:p>
    <w:p>
      <w:pPr>
        <w:ind w:left="2120" w:hanging="654"/>
        <w:spacing w:after="0"/>
        <w:tabs>
          <w:tab w:leader="none" w:pos="2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Amounts.</w:t>
      </w:r>
    </w:p>
    <w:p>
      <w:pPr>
        <w:spacing w:after="0" w:line="225" w:lineRule="exact"/>
        <w:rPr>
          <w:sz w:val="20"/>
          <w:szCs w:val="20"/>
          <w:color w:val="auto"/>
        </w:rPr>
      </w:pPr>
    </w:p>
    <w:p>
      <w:pPr>
        <w:jc w:val="both"/>
        <w:ind w:left="14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Times New Roman" w:cs="Times New Roman" w:eastAsia="Times New Roman" w:hAnsi="Times New Roman"/>
          <w:sz w:val="18"/>
          <w:szCs w:val="18"/>
          <w:u w:val="single" w:color="auto"/>
          <w:color w:val="auto"/>
        </w:rPr>
        <w:t>clause (b)(i)(B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in the aggregate or in the case of an assignment to a Lender, an Affiliate of a Lender or an Approved Fund, no minimum amount need be assigned; and</w:t>
      </w:r>
    </w:p>
    <w:p>
      <w:pPr>
        <w:spacing w:after="0" w:line="183" w:lineRule="exact"/>
        <w:rPr>
          <w:sz w:val="20"/>
          <w:szCs w:val="20"/>
          <w:color w:val="auto"/>
        </w:rPr>
      </w:pPr>
    </w:p>
    <w:p>
      <w:pPr>
        <w:jc w:val="both"/>
        <w:ind w:left="14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in any case not described in </w:t>
      </w:r>
      <w:r>
        <w:rPr>
          <w:rFonts w:ascii="Times New Roman" w:cs="Times New Roman" w:eastAsia="Times New Roman" w:hAnsi="Times New Roman"/>
          <w:sz w:val="18"/>
          <w:szCs w:val="18"/>
          <w:u w:val="single" w:color="auto"/>
          <w:color w:val="auto"/>
        </w:rPr>
        <w:t>clause (b)(i)(A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Facility, or $1,000,000, in the case of any assignment in respect of the Term Facility, unless each of the Administrative Agent and, so long as no Event of Default has occurred and is continuing, the Borrower otherwise consents in writing (each such consent not to be unreasonably withheld or delayed).</w:t>
      </w:r>
    </w:p>
    <w:p>
      <w:pPr>
        <w:spacing w:after="0" w:line="188" w:lineRule="exact"/>
        <w:rPr>
          <w:sz w:val="20"/>
          <w:szCs w:val="20"/>
          <w:color w:val="auto"/>
        </w:rPr>
      </w:pPr>
    </w:p>
    <w:p>
      <w:pPr>
        <w:jc w:val="both"/>
        <w:ind w:left="840"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Proportionate Amounts</w:t>
      </w:r>
      <w:r>
        <w:rPr>
          <w:rFonts w:ascii="Times New Roman" w:cs="Times New Roman" w:eastAsia="Times New Roman" w:hAnsi="Times New Roman"/>
          <w:sz w:val="18"/>
          <w:szCs w:val="18"/>
          <w:color w:val="auto"/>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shall not </w:t>
      </w:r>
      <w:r>
        <w:rPr>
          <w:rFonts w:ascii="Times New Roman" w:cs="Times New Roman" w:eastAsia="Times New Roman" w:hAnsi="Times New Roman"/>
          <w:sz w:val="18"/>
          <w:szCs w:val="18"/>
          <w:color w:val="FF0000"/>
          <w:strike w:val="1"/>
        </w:rPr>
        <w:t>(A) apply to the Swingline Lender’s rights and obligations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respect of Swingline Loans or (B)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prohibit any Lender from assigning all or a portion of its rights and obligations among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separate Facilities on a non-</w:t>
      </w:r>
      <w:r>
        <w:rPr>
          <w:rFonts w:ascii="Times New Roman" w:cs="Times New Roman" w:eastAsia="Times New Roman" w:hAnsi="Times New Roman"/>
          <w:sz w:val="18"/>
          <w:szCs w:val="18"/>
          <w:i w:val="1"/>
          <w:iCs w:val="1"/>
          <w:color w:val="000000"/>
        </w:rPr>
        <w:t>pro rata</w:t>
      </w:r>
      <w:r>
        <w:rPr>
          <w:rFonts w:ascii="Times New Roman" w:cs="Times New Roman" w:eastAsia="Times New Roman" w:hAnsi="Times New Roman"/>
          <w:sz w:val="18"/>
          <w:szCs w:val="18"/>
          <w:color w:val="000000"/>
        </w:rPr>
        <w:t xml:space="preserve"> basis.</w:t>
      </w:r>
    </w:p>
    <w:p>
      <w:pPr>
        <w:spacing w:after="0" w:line="39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6" w:name="page177"/>
    <w:bookmarkEnd w:id="176"/>
    <w:p>
      <w:pPr>
        <w:ind w:left="1480"/>
        <w:spacing w:after="0"/>
        <w:rPr>
          <w:sz w:val="20"/>
          <w:szCs w:val="20"/>
          <w:color w:val="auto"/>
        </w:rPr>
      </w:pPr>
      <w:r>
        <w:rPr>
          <w:rFonts w:ascii="Times New Roman" w:cs="Times New Roman" w:eastAsia="Times New Roman" w:hAnsi="Times New Roman"/>
          <w:sz w:val="17"/>
          <w:szCs w:val="17"/>
          <w:color w:val="auto"/>
        </w:rPr>
        <w:t>(iii)          </w:t>
      </w:r>
      <w:r>
        <w:rPr>
          <w:rFonts w:ascii="Times New Roman" w:cs="Times New Roman" w:eastAsia="Times New Roman" w:hAnsi="Times New Roman"/>
          <w:sz w:val="17"/>
          <w:szCs w:val="17"/>
          <w:u w:val="single" w:color="auto"/>
          <w:color w:val="auto"/>
        </w:rPr>
        <w:t>  Required Consents</w:t>
      </w:r>
      <w:r>
        <w:rPr>
          <w:rFonts w:ascii="Times New Roman" w:cs="Times New Roman" w:eastAsia="Times New Roman" w:hAnsi="Times New Roman"/>
          <w:sz w:val="17"/>
          <w:szCs w:val="17"/>
          <w:color w:val="auto"/>
        </w:rPr>
        <w:t xml:space="preserve">. No consent shall be required for any assignment except to the extent required by </w:t>
      </w:r>
      <w:r>
        <w:rPr>
          <w:rFonts w:ascii="Times New Roman" w:cs="Times New Roman" w:eastAsia="Times New Roman" w:hAnsi="Times New Roman"/>
          <w:sz w:val="17"/>
          <w:szCs w:val="17"/>
          <w:u w:val="single" w:color="auto"/>
          <w:color w:val="auto"/>
        </w:rPr>
        <w:t>clause (b)</w:t>
      </w:r>
    </w:p>
    <w:p>
      <w:pPr>
        <w:spacing w:after="0" w:line="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u w:val="single" w:color="auto"/>
          <w:color w:val="auto"/>
        </w:rPr>
        <w:t>(i)(B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in addition:</w:t>
      </w:r>
    </w:p>
    <w:p>
      <w:pPr>
        <w:spacing w:after="0" w:line="207" w:lineRule="exact"/>
        <w:rPr>
          <w:sz w:val="20"/>
          <w:szCs w:val="20"/>
          <w:color w:val="auto"/>
        </w:rPr>
      </w:pPr>
    </w:p>
    <w:p>
      <w:pPr>
        <w:jc w:val="both"/>
        <w:ind w:left="14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 and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the Borrower’s consent shall not be required during the primary syndication of the Facilities;</w:t>
      </w:r>
    </w:p>
    <w:p>
      <w:pPr>
        <w:spacing w:after="0" w:line="187" w:lineRule="exact"/>
        <w:rPr>
          <w:sz w:val="20"/>
          <w:szCs w:val="20"/>
          <w:color w:val="auto"/>
        </w:rPr>
      </w:pPr>
    </w:p>
    <w:p>
      <w:pPr>
        <w:jc w:val="both"/>
        <w:ind w:left="1480" w:firstLine="648"/>
        <w:spacing w:after="0" w:line="258" w:lineRule="auto"/>
        <w:rPr>
          <w:sz w:val="20"/>
          <w:szCs w:val="20"/>
          <w:color w:val="auto"/>
        </w:rPr>
      </w:pPr>
      <w:r>
        <w:rPr>
          <w:rFonts w:ascii="Times New Roman" w:cs="Times New Roman" w:eastAsia="Times New Roman" w:hAnsi="Times New Roman"/>
          <w:sz w:val="18"/>
          <w:szCs w:val="18"/>
          <w:color w:val="auto"/>
        </w:rPr>
        <w:t>(B)            the consent of the Administrative Agent (such consent not to be unreasonably withheld or delayed) shall be required for assignments in respect of (1) any unfunded Term Commitment or any Revolving Commitment if such assignment is to a Person that is not a Lender with a Commitment in respect of the applicable Facility, an Affiliate of such Lender or an Approved Fund with respect to such Lender or (2) any Term Loan to a Person that is not a Lender, an Affiliate of a Lender or an Approved Fund; and</w:t>
      </w:r>
    </w:p>
    <w:p>
      <w:pPr>
        <w:spacing w:after="0" w:line="183" w:lineRule="exact"/>
        <w:rPr>
          <w:sz w:val="20"/>
          <w:szCs w:val="20"/>
          <w:color w:val="auto"/>
        </w:rPr>
      </w:pPr>
    </w:p>
    <w:p>
      <w:pPr>
        <w:jc w:val="both"/>
        <w:ind w:left="14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the consent of the L/C Issuer </w:t>
      </w:r>
      <w:r>
        <w:rPr>
          <w:rFonts w:ascii="Times New Roman" w:cs="Times New Roman" w:eastAsia="Times New Roman" w:hAnsi="Times New Roman"/>
          <w:sz w:val="18"/>
          <w:szCs w:val="18"/>
          <w:color w:val="FF0000"/>
          <w:strike w:val="1"/>
        </w:rPr>
        <w:t>and the Swingline Lender</w:t>
      </w:r>
      <w:r>
        <w:rPr>
          <w:rFonts w:ascii="Times New Roman" w:cs="Times New Roman" w:eastAsia="Times New Roman" w:hAnsi="Times New Roman"/>
          <w:sz w:val="18"/>
          <w:szCs w:val="18"/>
          <w:color w:val="auto"/>
        </w:rPr>
        <w:t xml:space="preserve"> shall be required for any assignment in respect of the Revolving Facility.</w:t>
      </w:r>
    </w:p>
    <w:p>
      <w:pPr>
        <w:spacing w:after="0" w:line="162" w:lineRule="exact"/>
        <w:rPr>
          <w:sz w:val="20"/>
          <w:szCs w:val="20"/>
          <w:color w:val="auto"/>
        </w:rPr>
      </w:pPr>
    </w:p>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assignment. The assignee, if it is not a Lender, shall deliver to the Administrative Agent an Administrative Questionnaire.</w:t>
      </w:r>
    </w:p>
    <w:p>
      <w:pPr>
        <w:spacing w:after="0" w:line="180" w:lineRule="exact"/>
        <w:rPr>
          <w:sz w:val="20"/>
          <w:szCs w:val="20"/>
          <w:color w:val="auto"/>
        </w:rPr>
      </w:pPr>
    </w:p>
    <w:p>
      <w:pPr>
        <w:jc w:val="both"/>
        <w:ind w:left="840" w:firstLine="640"/>
        <w:spacing w:after="0" w:line="258" w:lineRule="auto"/>
        <w:tabs>
          <w:tab w:leader="none" w:pos="177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No Assignment to Certain Persons</w:t>
      </w:r>
      <w:r>
        <w:rPr>
          <w:rFonts w:ascii="Times New Roman" w:cs="Times New Roman" w:eastAsia="Times New Roman" w:hAnsi="Times New Roman"/>
          <w:sz w:val="18"/>
          <w:szCs w:val="18"/>
          <w:color w:val="auto"/>
        </w:rPr>
        <w:t xml:space="preserve">. No such assignment shall be made (A) to the Borrower or any of the Borrower’s Affiliates (other than Affiliated Lenders) or Subsidiaries, (B) to any Defaulting Lender or any of its Subsidiaries, any Disqualified Institution,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or (C) to a natural Person (or a holding company, investment vehicle or trust for, or owned and operated by or for the primary benefit of one or more natural Persons).</w:t>
      </w:r>
    </w:p>
    <w:p>
      <w:pPr>
        <w:spacing w:after="0" w:line="183" w:lineRule="exact"/>
        <w:rPr>
          <w:sz w:val="20"/>
          <w:szCs w:val="20"/>
          <w:color w:val="auto"/>
        </w:rPr>
      </w:pPr>
    </w:p>
    <w:p>
      <w:pPr>
        <w:jc w:val="both"/>
        <w:ind w:left="840" w:firstLine="648"/>
        <w:spacing w:after="0" w:line="268" w:lineRule="auto"/>
        <w:rPr>
          <w:sz w:val="20"/>
          <w:szCs w:val="20"/>
          <w:color w:val="auto"/>
        </w:rPr>
      </w:pPr>
      <w:r>
        <w:rPr>
          <w:rFonts w:ascii="Times New Roman" w:cs="Times New Roman" w:eastAsia="Times New Roman" w:hAnsi="Times New Roman"/>
          <w:sz w:val="17"/>
          <w:szCs w:val="17"/>
          <w:color w:val="auto"/>
        </w:rPr>
        <w:t>(vi)        </w:t>
      </w:r>
      <w:r>
        <w:rPr>
          <w:rFonts w:ascii="Times New Roman" w:cs="Times New Roman" w:eastAsia="Times New Roman" w:hAnsi="Times New Roman"/>
          <w:sz w:val="17"/>
          <w:szCs w:val="17"/>
          <w:u w:val="single" w:color="auto"/>
          <w:color w:val="auto"/>
        </w:rPr>
        <w:t>  Certain Additional Payments</w:t>
      </w:r>
      <w:r>
        <w:rPr>
          <w:rFonts w:ascii="Times New Roman" w:cs="Times New Roman" w:eastAsia="Times New Roman" w:hAnsi="Times New Roman"/>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 hereunder (and interest accrued thereon) and</w:t>
      </w:r>
    </w:p>
    <w:p>
      <w:pPr>
        <w:jc w:val="both"/>
        <w:ind w:left="840" w:hanging="8"/>
        <w:spacing w:after="0" w:line="253" w:lineRule="auto"/>
        <w:tabs>
          <w:tab w:leader="none" w:pos="114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 (and fund as appropriate) its full pro rata share of all Loans and participations in Letters of Credit </w:t>
      </w:r>
      <w:r>
        <w:rPr>
          <w:rFonts w:ascii="Times New Roman" w:cs="Times New Roman" w:eastAsia="Times New Roman" w:hAnsi="Times New Roman"/>
          <w:sz w:val="18"/>
          <w:szCs w:val="18"/>
          <w:color w:val="FF0000"/>
          <w:strike w:val="1"/>
        </w:rPr>
        <w:t>and Swingline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accordance with its Applicable Percentage. Notwithstanding the foregoing, in the event that any assignment of rights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and obligations of any Defaulting Lender hereunder shall become effective under Applicable Law without compliance with the provisions of this </w:t>
      </w:r>
      <w:r>
        <w:rPr>
          <w:rFonts w:ascii="Times New Roman" w:cs="Times New Roman" w:eastAsia="Times New Roman" w:hAnsi="Times New Roman"/>
          <w:sz w:val="18"/>
          <w:szCs w:val="18"/>
          <w:u w:val="single" w:color="auto"/>
          <w:color w:val="000000"/>
        </w:rPr>
        <w:t>clause (b)(vi</w:t>
      </w:r>
      <w:r>
        <w:rPr>
          <w:rFonts w:ascii="Times New Roman" w:cs="Times New Roman" w:eastAsia="Times New Roman" w:hAnsi="Times New Roman"/>
          <w:sz w:val="18"/>
          <w:szCs w:val="18"/>
          <w:color w:val="000000"/>
        </w:rPr>
        <w:t>),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7" w:name="page178"/>
    <w:bookmarkEnd w:id="177"/>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(vii)            Subject to acceptance and recording thereof by the Administrative Agent pursuant to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clause</w:t>
      </w:r>
    </w:p>
    <w:p>
      <w:pPr>
        <w:spacing w:after="0" w:line="190"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foregoing, any sale or assignment pursuant to this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to any Affiliated Lender shall be made pursuant to an Affiliated Lender Assignment and Assumption, and otherwise in accordance with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Register</w:t>
      </w:r>
      <w:r>
        <w:rPr>
          <w:rFonts w:ascii="Times New Roman" w:cs="Times New Roman" w:eastAsia="Times New Roman" w:hAnsi="Times New Roman"/>
          <w:sz w:val="18"/>
          <w:szCs w:val="18"/>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interest amounts) of the Loans and L/C Obligations owing to, each Lender pursuant to the terms hereof from time to time (the “</w:t>
      </w:r>
      <w:r>
        <w:rPr>
          <w:rFonts w:ascii="Times New Roman" w:cs="Times New Roman" w:eastAsia="Times New Roman" w:hAnsi="Times New Roman"/>
          <w:sz w:val="18"/>
          <w:szCs w:val="18"/>
          <w:i w:val="1"/>
          <w:iCs w:val="1"/>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spacing w:after="0" w:line="192" w:lineRule="exact"/>
        <w:rPr>
          <w:sz w:val="20"/>
          <w:szCs w:val="20"/>
          <w:color w:val="auto"/>
        </w:rPr>
      </w:pPr>
    </w:p>
    <w:p>
      <w:pPr>
        <w:ind w:left="1920" w:hanging="642"/>
        <w:spacing w:after="0"/>
        <w:tabs>
          <w:tab w:leader="none" w:pos="19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(i)            Any Lender may at any time, without the consent of, or notice to, the Borrower or the Administrative Agent, sell participations to any Person (other than a Disqualified Institution,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18"/>
          <w:szCs w:val="18"/>
          <w:i w:val="1"/>
          <w:iCs w:val="1"/>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w:t>
      </w:r>
      <w:r>
        <w:rPr>
          <w:rFonts w:ascii="Times New Roman" w:cs="Times New Roman" w:eastAsia="Times New Roman" w:hAnsi="Times New Roman"/>
          <w:sz w:val="18"/>
          <w:szCs w:val="18"/>
          <w:color w:val="FF0000"/>
          <w:strike w:val="1"/>
        </w:rPr>
        <w:t>and/or Swingline Loans</w:t>
      </w:r>
      <w:r>
        <w:rPr>
          <w:rFonts w:ascii="Times New Roman" w:cs="Times New Roman" w:eastAsia="Times New Roman" w:hAnsi="Times New Roman"/>
          <w:sz w:val="18"/>
          <w:szCs w:val="18"/>
          <w:color w:val="auto"/>
        </w:rPr>
        <w:t xml:space="preserve">) owing to it);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without regard to the existence of any participations.</w:t>
      </w:r>
    </w:p>
    <w:p>
      <w:pPr>
        <w:spacing w:after="0" w:line="200" w:lineRule="exact"/>
        <w:rPr>
          <w:sz w:val="20"/>
          <w:szCs w:val="20"/>
          <w:color w:val="auto"/>
        </w:rPr>
      </w:pPr>
    </w:p>
    <w:p>
      <w:pPr>
        <w:spacing w:after="0" w:line="20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8" w:name="page179"/>
    <w:bookmarkEnd w:id="178"/>
    <w:p>
      <w:pPr>
        <w:jc w:val="both"/>
        <w:ind w:left="840" w:firstLine="648"/>
        <w:spacing w:after="0" w:line="251" w:lineRule="auto"/>
        <w:rPr>
          <w:sz w:val="20"/>
          <w:szCs w:val="20"/>
          <w:color w:val="auto"/>
        </w:rPr>
      </w:pPr>
      <w:r>
        <w:rPr>
          <w:rFonts w:ascii="Times New Roman" w:cs="Times New Roman" w:eastAsia="Times New Roman" w:hAnsi="Times New Roman"/>
          <w:sz w:val="18"/>
          <w:szCs w:val="18"/>
          <w:color w:val="auto"/>
        </w:rPr>
        <w:t xml:space="preserve">(ii)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that affects such Participant. The Borrower agrees that each Participant shall be entitled to the benefits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such Participant (A) shall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as if it were an assignee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 w:cs="Times New Roman" w:eastAsia="Times New Roman" w:hAnsi="Times New Roman"/>
          <w:sz w:val="18"/>
          <w:szCs w:val="18"/>
          <w:i w:val="1"/>
          <w:iCs w:val="1"/>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 Lender shall have any obligation to disclose all or any portion of the Participant Register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1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9" w:name="page180"/>
    <w:bookmarkEnd w:id="179"/>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jc w:val="both"/>
        <w:ind w:left="180" w:firstLine="648"/>
        <w:spacing w:after="0" w:line="25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Resignation as L/C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or Swingline Lender after Assignment</w:t>
      </w:r>
      <w:r>
        <w:rPr>
          <w:rFonts w:ascii="Times New Roman" w:cs="Times New Roman" w:eastAsia="Times New Roman" w:hAnsi="Times New Roman"/>
          <w:sz w:val="18"/>
          <w:szCs w:val="18"/>
          <w:color w:val="auto"/>
        </w:rPr>
        <w:t xml:space="preserve">. Notwithstanding anything to the contrary contained herein, if at any time Bank of America assigns all of its Revolving Commitment and Revolving Loans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Bank of America may,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 xml:space="preserve"> upon thirty (30) days’ notice to the Administrative Agent, the Borrower and the Lenders, resign as L/C Issuer </w:t>
      </w:r>
      <w:r>
        <w:rPr>
          <w:rFonts w:ascii="Times New Roman" w:cs="Times New Roman" w:eastAsia="Times New Roman" w:hAnsi="Times New Roman"/>
          <w:sz w:val="18"/>
          <w:szCs w:val="18"/>
          <w:color w:val="FF0000"/>
          <w:strike w:val="1"/>
        </w:rPr>
        <w:t>and/or</w:t>
      </w:r>
    </w:p>
    <w:p>
      <w:pPr>
        <w:spacing w:after="0" w:line="1" w:lineRule="exact"/>
        <w:rPr>
          <w:sz w:val="20"/>
          <w:szCs w:val="20"/>
          <w:color w:val="auto"/>
        </w:rPr>
      </w:pPr>
    </w:p>
    <w:p>
      <w:pPr>
        <w:jc w:val="both"/>
        <w:ind w:left="180" w:firstLine="4"/>
        <w:spacing w:after="0" w:line="250" w:lineRule="auto"/>
        <w:tabs>
          <w:tab w:leader="none" w:pos="467" w:val="left"/>
        </w:tabs>
        <w:numPr>
          <w:ilvl w:val="0"/>
          <w:numId w:val="76"/>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upon thirty (30) days’ notice to the Borrower, resign as Swingline Lender</w:t>
      </w:r>
      <w:r>
        <w:rPr>
          <w:rFonts w:ascii="Times New Roman" w:cs="Times New Roman" w:eastAsia="Times New Roman" w:hAnsi="Times New Roman"/>
          <w:sz w:val="18"/>
          <w:szCs w:val="18"/>
          <w:color w:val="000000"/>
        </w:rPr>
        <w:t>. In the event of any such resignation as L/C Issuer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Swingline Lender</w:t>
      </w:r>
      <w:r>
        <w:rPr>
          <w:rFonts w:ascii="Times New Roman" w:cs="Times New Roman" w:eastAsia="Times New Roman" w:hAnsi="Times New Roman"/>
          <w:sz w:val="18"/>
          <w:szCs w:val="18"/>
          <w:color w:val="000000"/>
        </w:rPr>
        <w:t>, the Borrower shall be entitled to appoint from among the Lenders a successor L/C Issuer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or Swingline Lender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hereunder; </w:t>
      </w:r>
      <w:r>
        <w:rPr>
          <w:rFonts w:ascii="Times New Roman" w:cs="Times New Roman" w:eastAsia="Times New Roman" w:hAnsi="Times New Roman"/>
          <w:sz w:val="18"/>
          <w:szCs w:val="18"/>
          <w:i w:val="1"/>
          <w:iCs w:val="1"/>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u w:val="single" w:color="auto"/>
          <w:color w:val="000000"/>
        </w:rPr>
        <w:t>however</w:t>
      </w:r>
      <w:r>
        <w:rPr>
          <w:rFonts w:ascii="Times New Roman" w:cs="Times New Roman" w:eastAsia="Times New Roman" w:hAnsi="Times New Roman"/>
          <w:sz w:val="18"/>
          <w:szCs w:val="18"/>
          <w:color w:val="000000"/>
        </w:rPr>
        <w:t xml:space="preserve">, that no failure by the Borrower to appoint any such successor shall affect the resignation of Bank of America as L/C Issuer </w:t>
      </w:r>
      <w:r>
        <w:rPr>
          <w:rFonts w:ascii="Times New Roman" w:cs="Times New Roman" w:eastAsia="Times New Roman" w:hAnsi="Times New Roman"/>
          <w:sz w:val="18"/>
          <w:szCs w:val="18"/>
          <w:color w:val="FF0000"/>
          <w:strike w:val="1"/>
        </w:rPr>
        <w:t>or Swingline Lender</w:t>
      </w:r>
      <w:r>
        <w:rPr>
          <w:rFonts w:ascii="Times New Roman" w:cs="Times New Roman" w:eastAsia="Times New Roman" w:hAnsi="Times New Roman"/>
          <w:sz w:val="18"/>
          <w:szCs w:val="18"/>
          <w:color w:val="000000"/>
        </w:rPr>
        <w:t xml:space="preserve">,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000000"/>
        </w:rPr>
        <w:t>Section 2.03(c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If Bank of America resigns as Swingline Lender, it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 xml:space="preserve">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2.04(c). </w:t>
      </w:r>
      <w:r>
        <w:rPr>
          <w:rFonts w:ascii="Times New Roman" w:cs="Times New Roman" w:eastAsia="Times New Roman" w:hAnsi="Times New Roman"/>
          <w:sz w:val="18"/>
          <w:szCs w:val="18"/>
          <w:color w:val="000000"/>
          <w:strike w:val="1"/>
        </w:rPr>
        <w:t>Upon the appointment of a successor L/C Issuer</w:t>
      </w:r>
      <w:r>
        <w:rPr>
          <w:rFonts w:ascii="Times New Roman" w:cs="Times New Roman" w:eastAsia="Times New Roman" w:hAnsi="Times New Roman"/>
          <w:sz w:val="18"/>
          <w:szCs w:val="18"/>
          <w:color w:val="FF0000"/>
          <w:strike w:val="1"/>
        </w:rPr>
        <w:t xml:space="preserve"> and/or Swingline Lender</w:t>
      </w:r>
      <w:r>
        <w:rPr>
          <w:rFonts w:ascii="Times New Roman" w:cs="Times New Roman" w:eastAsia="Times New Roman" w:hAnsi="Times New Roman"/>
          <w:sz w:val="18"/>
          <w:szCs w:val="18"/>
          <w:color w:val="000000"/>
          <w:strike w:val="1"/>
        </w:rPr>
        <w:t>,</w:t>
      </w:r>
    </w:p>
    <w:p>
      <w:pPr>
        <w:spacing w:after="0" w:line="3" w:lineRule="exact"/>
        <w:rPr>
          <w:rFonts w:ascii="Times New Roman" w:cs="Times New Roman" w:eastAsia="Times New Roman" w:hAnsi="Times New Roman"/>
          <w:sz w:val="18"/>
          <w:szCs w:val="18"/>
          <w:color w:val="FF0000"/>
          <w:strike w:val="1"/>
        </w:rPr>
      </w:pPr>
    </w:p>
    <w:p>
      <w:pPr>
        <w:jc w:val="both"/>
        <w:ind w:left="180"/>
        <w:spacing w:after="0" w:line="253" w:lineRule="auto"/>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 xml:space="preserve">(A) such successor shall succeed to and become vested with all of the rights, powers, privileges and duties of the retiring L/C Issuer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Swingline Lender, as the case may be</w:t>
      </w:r>
      <w:r>
        <w:rPr>
          <w:rFonts w:ascii="Times New Roman" w:cs="Times New Roman" w:eastAsia="Times New Roman" w:hAnsi="Times New Roman"/>
          <w:sz w:val="18"/>
          <w:szCs w:val="18"/>
          <w:color w:val="000000"/>
        </w:rPr>
        <w:t>, and (B) the successor L/C Issuer shall issue letters of credit in substitution for the Letters of Credit,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if any, outstanding at the time of such succession or make other arrangements satisfactory to Bank of America to effectively assume the obligations of Bank of America with respect to such Letters of Credit.</w:t>
      </w:r>
    </w:p>
    <w:p>
      <w:pPr>
        <w:spacing w:after="0" w:line="188" w:lineRule="exact"/>
        <w:rPr>
          <w:rFonts w:ascii="Times New Roman" w:cs="Times New Roman" w:eastAsia="Times New Roman" w:hAnsi="Times New Roman"/>
          <w:sz w:val="18"/>
          <w:szCs w:val="18"/>
          <w:color w:val="FF0000"/>
          <w:strike w:val="1"/>
        </w:rPr>
      </w:pPr>
    </w:p>
    <w:p>
      <w:pPr>
        <w:ind w:left="1460" w:hanging="642"/>
        <w:spacing w:after="0"/>
        <w:tabs>
          <w:tab w:leader="none" w:pos="14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Disqualified Institutions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-830580</wp:posOffset>
            </wp:positionV>
            <wp:extent cx="3257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205" w:lineRule="exact"/>
        <w:rPr>
          <w:sz w:val="20"/>
          <w:szCs w:val="20"/>
          <w:color w:val="auto"/>
        </w:rPr>
      </w:pPr>
    </w:p>
    <w:p>
      <w:pPr>
        <w:jc w:val="both"/>
        <w:ind w:left="8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Notwithstanding anything to the contrary set forth in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no assignment or, to the extent the DQ List has been posted on the Platform for all Lenders, participation shall be made to any Person that was a Disqualified Institution as of the date (the “</w:t>
      </w:r>
      <w:r>
        <w:rPr>
          <w:rFonts w:ascii="Times New Roman" w:cs="Times New Roman" w:eastAsia="Times New Roman" w:hAnsi="Times New Roman"/>
          <w:sz w:val="18"/>
          <w:szCs w:val="18"/>
          <w:i w:val="1"/>
          <w:iCs w:val="1"/>
          <w:u w:val="single" w:color="auto"/>
          <w:color w:val="auto"/>
        </w:rPr>
        <w:t>Trade Date</w:t>
      </w:r>
      <w:r>
        <w:rPr>
          <w:rFonts w:ascii="Times New Roman" w:cs="Times New Roman" w:eastAsia="Times New Roman" w:hAnsi="Times New Roman"/>
          <w:sz w:val="18"/>
          <w:szCs w:val="18"/>
          <w:color w:val="auto"/>
        </w:rPr>
        <w:t xml:space="preserve">”) on which the applicable Lender entered into a binding agreement to sell and assign or participate all or a portion of its rights and obligations under this Agreement to such Person (unless the Borrower has consented to such assignment as otherwise contemplated by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in which case such Person will not be considered a Disqualified Institution for the purpose of such assignment).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“Disqualified Institution”), such assignee shall not retroactively be considered a Disqualified Institution. Any assignment in violation of this </w:t>
      </w:r>
      <w:r>
        <w:rPr>
          <w:rFonts w:ascii="Times New Roman" w:cs="Times New Roman" w:eastAsia="Times New Roman" w:hAnsi="Times New Roman"/>
          <w:sz w:val="18"/>
          <w:szCs w:val="18"/>
          <w:u w:val="single" w:color="auto"/>
          <w:color w:val="auto"/>
        </w:rPr>
        <w:t>clause (g)(i</w:t>
      </w:r>
      <w:r>
        <w:rPr>
          <w:rFonts w:ascii="Times New Roman" w:cs="Times New Roman" w:eastAsia="Times New Roman" w:hAnsi="Times New Roman"/>
          <w:sz w:val="18"/>
          <w:szCs w:val="18"/>
          <w:color w:val="auto"/>
        </w:rPr>
        <w:t xml:space="preserve">) shall not be void, but the other provisions of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shall apply.</w:t>
      </w:r>
    </w:p>
    <w:p>
      <w:pPr>
        <w:spacing w:after="0" w:line="200" w:lineRule="exact"/>
        <w:rPr>
          <w:sz w:val="20"/>
          <w:szCs w:val="20"/>
          <w:color w:val="auto"/>
        </w:rPr>
      </w:pPr>
    </w:p>
    <w:p>
      <w:pPr>
        <w:spacing w:after="0" w:line="2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0" w:name="page181"/>
    <w:bookmarkEnd w:id="180"/>
    <w:p>
      <w:pPr>
        <w:jc w:val="both"/>
        <w:ind w:left="8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If any assignment is made to any Disqualified Institution without the Borrower’s prior consent in violation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the Borrower may, at its sole expense and effort,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(B) in the case of outstanding Term Loans held by Disqualified Institutions, prepay such Term Loan by paying the </w:t>
      </w:r>
      <w:r>
        <w:rPr>
          <w:rFonts w:ascii="Times New Roman" w:cs="Times New Roman" w:eastAsia="Times New Roman" w:hAnsi="Times New Roman"/>
          <w:sz w:val="18"/>
          <w:szCs w:val="18"/>
          <w:i w:val="1"/>
          <w:iCs w:val="1"/>
          <w:color w:val="auto"/>
        </w:rPr>
        <w:t>lesser of</w:t>
      </w:r>
      <w:r>
        <w:rPr>
          <w:rFonts w:ascii="Times New Roman" w:cs="Times New Roman" w:eastAsia="Times New Roman" w:hAnsi="Times New Roman"/>
          <w:sz w:val="18"/>
          <w:szCs w:val="18"/>
          <w:color w:val="auto"/>
        </w:rPr>
        <w:t xml:space="preserve"> (1) the principal amount thereof and (2) the amount that such Disqualified Institution paid to acquire such Term Loans, in each case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all of its interest, rights and obligations under this Agreement and related Loan Documents to an Eligible Assignee that shall assume such obligations at the </w:t>
      </w:r>
      <w:r>
        <w:rPr>
          <w:rFonts w:ascii="Times New Roman" w:cs="Times New Roman" w:eastAsia="Times New Roman" w:hAnsi="Times New Roman"/>
          <w:sz w:val="18"/>
          <w:szCs w:val="18"/>
          <w:i w:val="1"/>
          <w:iCs w:val="1"/>
          <w:color w:val="auto"/>
        </w:rPr>
        <w:t>lesser of</w:t>
      </w:r>
      <w:r>
        <w:rPr>
          <w:rFonts w:ascii="Times New Roman" w:cs="Times New Roman" w:eastAsia="Times New Roman" w:hAnsi="Times New Roman"/>
          <w:sz w:val="18"/>
          <w:szCs w:val="18"/>
          <w:color w:val="auto"/>
        </w:rPr>
        <w:t xml:space="preserve"> (1) the principal amount thereof and (2) the amount that such Disqualified Institution paid to acquire such interests, rights and obligations, in each case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accrued interest, accrued fees and all other amounts (other than principal amounts) payable to it hereunder and other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Loan Documents;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(x) the Borrower shall have paid to the Administrative Agent the assignment fee (if any) specified in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(y) such assignment does not conflict with Applicable Laws and (z)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the Borrower shall not use the proceeds from any Loans to prepay Term Loans held by Disqualified Institutions.</w:t>
      </w:r>
    </w:p>
    <w:p>
      <w:pPr>
        <w:spacing w:after="0" w:line="19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(iii)           Notwithstanding anything to the contrary contained in this Agreement, Disqualified Institutions (A) will not</w:t>
      </w:r>
    </w:p>
    <w:p>
      <w:pPr>
        <w:spacing w:after="0" w:line="27" w:lineRule="exact"/>
        <w:rPr>
          <w:sz w:val="20"/>
          <w:szCs w:val="20"/>
          <w:color w:val="auto"/>
        </w:rPr>
      </w:pPr>
    </w:p>
    <w:p>
      <w:pPr>
        <w:jc w:val="both"/>
        <w:ind w:left="840" w:hanging="8"/>
        <w:spacing w:after="0" w:line="250" w:lineRule="auto"/>
        <w:tabs>
          <w:tab w:leader="none" w:pos="111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right to receive information, reports or other materials provided to Lenders by the Borrower, the Administrative Agent or any other Lender, (2) attend or participate in meetings attended by the Lenders and the Administrative Agent, or</w:t>
      </w:r>
    </w:p>
    <w:p>
      <w:pPr>
        <w:jc w:val="both"/>
        <w:ind w:left="840" w:hanging="8"/>
        <w:spacing w:after="0" w:line="250" w:lineRule="auto"/>
        <w:tabs>
          <w:tab w:leader="none" w:pos="109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any electronic site established for the Lenders or confidential communications from counsel to or financial advisors of the Administrative Agent or the Lenders and (B) (1)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w:t>
      </w:r>
    </w:p>
    <w:p>
      <w:pPr>
        <w:spacing w:after="0" w:line="1" w:lineRule="exact"/>
        <w:rPr>
          <w:rFonts w:ascii="Times New Roman" w:cs="Times New Roman" w:eastAsia="Times New Roman" w:hAnsi="Times New Roman"/>
          <w:sz w:val="18"/>
          <w:szCs w:val="18"/>
          <w:color w:val="auto"/>
        </w:rPr>
      </w:pPr>
    </w:p>
    <w:p>
      <w:pPr>
        <w:jc w:val="both"/>
        <w:ind w:left="840" w:hanging="8"/>
        <w:spacing w:after="0" w:line="268" w:lineRule="auto"/>
        <w:tabs>
          <w:tab w:leader="none" w:pos="111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voting on any plan of reorganization or plan of liquidation pursuant to any Debtor Relief Laws (“</w:t>
      </w:r>
      <w:r>
        <w:rPr>
          <w:rFonts w:ascii="Times New Roman" w:cs="Times New Roman" w:eastAsia="Times New Roman" w:hAnsi="Times New Roman"/>
          <w:sz w:val="17"/>
          <w:szCs w:val="17"/>
          <w:i w:val="1"/>
          <w:iCs w:val="1"/>
          <w:u w:val="single" w:color="auto"/>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Reorganization</w:t>
      </w:r>
      <w:r>
        <w:rPr>
          <w:rFonts w:ascii="Times New Roman" w:cs="Times New Roman" w:eastAsia="Times New Roman" w:hAnsi="Times New Roman"/>
          <w:sz w:val="17"/>
          <w:szCs w:val="17"/>
          <w:color w:val="auto"/>
        </w:rPr>
        <w:t>”), each Disqualified Institution party hereto hereby agrees (I) not to vote on such Plan of Reorganization, (II)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such Disqualified Institution does vote on such Plan of Reorganization notwithstanding the restriction in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(III)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(iv)            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 w:cs="Times New Roman" w:eastAsia="Times New Roman" w:hAnsi="Times New Roman"/>
          <w:sz w:val="18"/>
          <w:szCs w:val="18"/>
          <w:i w:val="1"/>
          <w:iCs w:val="1"/>
          <w:u w:val="single" w:color="auto"/>
          <w:color w:val="auto"/>
        </w:rPr>
        <w:t>DQ List</w:t>
      </w:r>
      <w:r>
        <w:rPr>
          <w:rFonts w:ascii="Times New Roman" w:cs="Times New Roman" w:eastAsia="Times New Roman" w:hAnsi="Times New Roman"/>
          <w:sz w:val="18"/>
          <w:szCs w:val="18"/>
          <w:color w:val="auto"/>
        </w:rPr>
        <w:t>”) on the Platform, including that portion of the Platform that is designated for “public side” Lenders or (B) provide the DQ List to each Lender requesting the same.</w:t>
      </w:r>
    </w:p>
    <w:p>
      <w:pPr>
        <w:spacing w:after="0" w:line="39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1" w:name="page182"/>
    <w:bookmarkEnd w:id="181"/>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Assignments to Affiliated Lenders</w:t>
      </w:r>
      <w:r>
        <w:rPr>
          <w:rFonts w:ascii="Times New Roman" w:cs="Times New Roman" w:eastAsia="Times New Roman" w:hAnsi="Times New Roman"/>
          <w:sz w:val="18"/>
          <w:szCs w:val="18"/>
          <w:color w:val="auto"/>
        </w:rPr>
        <w:t xml:space="preserve">. So long as no Default has occurred and is continuing or would result therefrom, each Term Lender shall have the right at any time to sell, assign or transfer all or a portion of its Term Commitment or Term Loans (but not Revolving Commitments or Revolving Loans) owing to it to any Affiliated Lender on a non pro rata basis through open market purchases, in each case subject to the limitations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17 and the following additional limitations:</w:t>
      </w:r>
    </w:p>
    <w:p>
      <w:pPr>
        <w:spacing w:after="0" w:line="180"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(j)            each Affiliated Lender, solely in its capacity as a Lender, hereby further agrees, and each Affiliated Lender Assignment and Assumption Agreement shall provide a confirmation, that if any Loan Party shall be subject to any voluntary or involuntary proceeding commenced under any Debtor Relief Law:</w:t>
      </w:r>
    </w:p>
    <w:p>
      <w:pPr>
        <w:spacing w:after="0" w:line="176" w:lineRule="exact"/>
        <w:rPr>
          <w:sz w:val="20"/>
          <w:szCs w:val="20"/>
          <w:color w:val="auto"/>
        </w:rPr>
      </w:pPr>
    </w:p>
    <w:p>
      <w:pPr>
        <w:jc w:val="both"/>
        <w:ind w:left="1480" w:firstLine="648"/>
        <w:spacing w:after="0" w:line="254" w:lineRule="auto"/>
        <w:rPr>
          <w:sz w:val="20"/>
          <w:szCs w:val="20"/>
          <w:color w:val="auto"/>
        </w:rPr>
      </w:pPr>
      <w:r>
        <w:rPr>
          <w:rFonts w:ascii="Times New Roman" w:cs="Times New Roman" w:eastAsia="Times New Roman" w:hAnsi="Times New Roman"/>
          <w:sz w:val="18"/>
          <w:szCs w:val="18"/>
          <w:color w:val="auto"/>
        </w:rPr>
        <w:t>(A)            each Affiliated Lender shall not take any step or action (whether directly or indirectly) in such proceeding to object to, impede, or delay the exercise of any right or the taking of any action by the Administrative Agent (or the taking of any action by a third party that to which the Administrative Agent has consented with respect to any disposition of assets by Borrower or any equity or debt financing to be made to Borrower), including, without limitation, the filing of any pleading by the Administrative Agent in (or with respect to any matters related to) the proceeding so long as the Administrative Agent is not taking any action to treat such Affiliated Lender’s Loans in a manner that is less favorable to such Affiliated Lender in any material respect than the proposed treatment of similar Obligations held by other Lenders (including, without limitation, objecting to any debtor-in-possession financing, use of Cash Collateral, grant of adequate protection, sale or disposition, compromise or plan of reorganization);</w:t>
      </w:r>
    </w:p>
    <w:p>
      <w:pPr>
        <w:spacing w:after="0" w:line="188" w:lineRule="exact"/>
        <w:rPr>
          <w:sz w:val="20"/>
          <w:szCs w:val="20"/>
          <w:color w:val="auto"/>
        </w:rPr>
      </w:pPr>
    </w:p>
    <w:p>
      <w:pPr>
        <w:jc w:val="both"/>
        <w:ind w:left="1480" w:firstLine="648"/>
        <w:spacing w:after="0" w:line="255" w:lineRule="auto"/>
        <w:rPr>
          <w:sz w:val="20"/>
          <w:szCs w:val="20"/>
          <w:color w:val="auto"/>
        </w:rPr>
      </w:pPr>
      <w:r>
        <w:rPr>
          <w:rFonts w:ascii="Times New Roman" w:cs="Times New Roman" w:eastAsia="Times New Roman" w:hAnsi="Times New Roman"/>
          <w:sz w:val="18"/>
          <w:szCs w:val="18"/>
          <w:color w:val="auto"/>
        </w:rPr>
        <w:t>(B)            the provisions set forth in this Section 11.06(h), and the related provisions set forth in each Affiliated Lender Assignment and Assumption, constitute (x) a “subordination agreement” as such term is contemplated by, and utilized in, Section 510(a) of the Bankruptcy Code, and, as such, would be enforceable for all purposes in any case where a Loan Party has filed for protection under any Debtor Relief Laws and affecting the rights of creditors generally applicable to such Loan Party and (y) an irrevocable voting proxy coupled with a pledge in favor of the Administrative Agent with respect to voting obligations set forth in this Section 11.06(h), and the related provisions set forth in each Affiliated Lender Assignment and Assumption;</w:t>
      </w:r>
    </w:p>
    <w:p>
      <w:pPr>
        <w:spacing w:after="0" w:line="189" w:lineRule="exact"/>
        <w:rPr>
          <w:sz w:val="20"/>
          <w:szCs w:val="20"/>
          <w:color w:val="auto"/>
        </w:rPr>
      </w:pPr>
    </w:p>
    <w:p>
      <w:pPr>
        <w:jc w:val="both"/>
        <w:ind w:left="1480" w:firstLine="648"/>
        <w:spacing w:after="0" w:line="255" w:lineRule="auto"/>
        <w:rPr>
          <w:sz w:val="20"/>
          <w:szCs w:val="20"/>
          <w:color w:val="auto"/>
        </w:rPr>
      </w:pPr>
      <w:r>
        <w:rPr>
          <w:rFonts w:ascii="Times New Roman" w:cs="Times New Roman" w:eastAsia="Times New Roman" w:hAnsi="Times New Roman"/>
          <w:sz w:val="18"/>
          <w:szCs w:val="18"/>
          <w:color w:val="auto"/>
        </w:rPr>
        <w:t>(C)            each Affiliated Lender shall support and shall not object to (x) any use of Cash Collateral (including, without limitation, any and all terms of any cash collateral order) and/or any debtor-in-possession financing (including, without limitation, any and all terms of any financing agreement, related documents and financing order) that is supported by or consented to by Administrative Agent and (y) any sale of any assets of the Loan Parties, whether under Section 363 of the Bankruptcy Code or otherwise, that is supported by or consented to by the Administrative Agent (including, without limitation, the terms and conditions of any bidding procedures orders, sale orders and any and all purchase and sale agreements and related documents);</w:t>
      </w:r>
    </w:p>
    <w:p>
      <w:pPr>
        <w:spacing w:after="0" w:line="200" w:lineRule="exact"/>
        <w:rPr>
          <w:sz w:val="20"/>
          <w:szCs w:val="20"/>
          <w:color w:val="auto"/>
        </w:rPr>
      </w:pPr>
    </w:p>
    <w:p>
      <w:pPr>
        <w:spacing w:after="0" w:line="20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2" w:name="page183"/>
    <w:bookmarkEnd w:id="182"/>
    <w:p>
      <w:pPr>
        <w:jc w:val="both"/>
        <w:ind w:left="1480" w:firstLine="648"/>
        <w:spacing w:after="0" w:line="252" w:lineRule="auto"/>
        <w:rPr>
          <w:sz w:val="20"/>
          <w:szCs w:val="20"/>
          <w:color w:val="auto"/>
        </w:rPr>
      </w:pPr>
      <w:r>
        <w:rPr>
          <w:rFonts w:ascii="Times New Roman" w:cs="Times New Roman" w:eastAsia="Times New Roman" w:hAnsi="Times New Roman"/>
          <w:sz w:val="18"/>
          <w:szCs w:val="18"/>
          <w:color w:val="auto"/>
        </w:rPr>
        <w:t>(D)            each Affiliated Lender shall be deemed to have voted in such proceedings in the same proportion as the allocation of voting with respect to such matter by those Term Lenders who are not Affiliated Lenders, except to the extent that any plan under the Bankruptcy Code proposes to treat the Obligations held by such Affiliated Lender in a manner that is less favorable to such Affiliated Lender in any material respect than the proposed treatment of similar Obligations held by other Term Lenders. For the avoidance of doubt, except to the extent that any plan under the Bankruptcy Code proposes to treat the Obligations held by an Affiliated Lender in a manner that is less favorable to such Affiliated Lender in any material respect than the proposed treatment of similar Obligations held by other Lenders, the Administrative Agent is hereby irrevocably authorized and empowered (in the name of such Affiliated Lender) to vote on behalf of such Affiliated Lender or consent on behalf of such Affiliated Lender in any such proceedings with respect to any and all claims of such Affiliated Lender relating to the Obligations. Each Affiliated Lender agrees and acknowledges that the foregoing constitutes an irrevocable proxy in favor of the Administrative Agent to vote or consent on behalf of such Affiliated Lender in any proceeding in the manner set forth above and that such Affiliated Lender shall be irrevocably bound to any such votes made or consents given and further shall not challenge or otherwise object to such votes or consents and shall not itself vote or provide consents in the proceeding; and</w:t>
      </w:r>
    </w:p>
    <w:p>
      <w:pPr>
        <w:spacing w:after="0" w:line="196" w:lineRule="exact"/>
        <w:rPr>
          <w:sz w:val="20"/>
          <w:szCs w:val="20"/>
          <w:color w:val="auto"/>
        </w:rPr>
      </w:pPr>
    </w:p>
    <w:p>
      <w:pPr>
        <w:jc w:val="both"/>
        <w:ind w:left="1480" w:firstLine="648"/>
        <w:spacing w:after="0" w:line="256" w:lineRule="auto"/>
        <w:rPr>
          <w:sz w:val="20"/>
          <w:szCs w:val="20"/>
          <w:color w:val="auto"/>
        </w:rPr>
      </w:pPr>
      <w:r>
        <w:rPr>
          <w:rFonts w:ascii="Times New Roman" w:cs="Times New Roman" w:eastAsia="Times New Roman" w:hAnsi="Times New Roman"/>
          <w:sz w:val="18"/>
          <w:szCs w:val="18"/>
          <w:color w:val="auto"/>
        </w:rPr>
        <w:t>(E)             each Affiliated Lender hereby expressly and irrevocably waives, for the benefit of the Administrative Agent and the Lenders any principles or provisions of law (including as set forth in any Debtor Relief Law, statutory or otherwise) which are or might be in conflict with the terms of this Agreement and any legal or equitable discharge of such Affiliated Lender’s obligations hereunder; and (ii) the Borrower shall, from time to time upon the request of the Administrative Agent, promptly deliver to the Administrative Agent a complete list of all Affiliated Lenders holding Term Loans at such time.</w:t>
      </w:r>
    </w:p>
    <w:p>
      <w:pPr>
        <w:spacing w:after="0" w:line="183"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11.07.</w:t>
      </w:r>
      <w:r>
        <w:rPr>
          <w:sz w:val="20"/>
          <w:szCs w:val="20"/>
          <w:color w:val="auto"/>
        </w:rPr>
        <w:tab/>
      </w:r>
      <w:r>
        <w:rPr>
          <w:rFonts w:ascii="Times New Roman" w:cs="Times New Roman" w:eastAsia="Times New Roman" w:hAnsi="Times New Roman"/>
          <w:sz w:val="17"/>
          <w:szCs w:val="17"/>
          <w:color w:val="auto"/>
        </w:rPr>
        <w:t>Treatment of Certain Information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Confidentiality</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Treatment of Certain Information</w:t>
      </w:r>
      <w:r>
        <w:rPr>
          <w:rFonts w:ascii="Times New Roman" w:cs="Times New Roman" w:eastAsia="Times New Roman" w:hAnsi="Times New Roman"/>
          <w:sz w:val="18"/>
          <w:szCs w:val="18"/>
          <w:color w:val="auto"/>
        </w:rPr>
        <w:t xml:space="preserve">. Each of the Administrative Agent, the Lenders and the L/C Issuer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to (A)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2.16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or (B) any actual or prospective party (or its Related Parties) to any swap, derivative or other transaction under which payments are to be made by reference to the Borrower and its obligations, this Agreement or payments hereunder (it being understood that the DQ List may be disclosed to any assignee or Participant, or prospective assignee or Participant, in reliance on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(vii) on a confidential basis to (A) any rating agency in connection with rating the Borrower or its Subsidiaries or the credit facilities provided hereunder or (B) the provider of any Platform or other electronic delivery service used by the Administrative Agent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and/or</w:t>
      </w:r>
      <w:r>
        <w:rPr>
          <w:rFonts w:ascii="Times New Roman" w:cs="Times New Roman" w:eastAsia="Times New Roman" w:hAnsi="Times New Roman"/>
          <w:sz w:val="18"/>
          <w:szCs w:val="18"/>
          <w:color w:val="auto"/>
        </w:rPr>
        <w:t xml:space="preserve"> the L/C Issuer </w:t>
      </w:r>
      <w:r>
        <w:rPr>
          <w:rFonts w:ascii="Times New Roman" w:cs="Times New Roman" w:eastAsia="Times New Roman" w:hAnsi="Times New Roman"/>
          <w:sz w:val="18"/>
          <w:szCs w:val="18"/>
          <w:color w:val="FF0000"/>
          <w:strike w:val="1"/>
        </w:rPr>
        <w:t>and/or the Swingline Lender</w:t>
      </w:r>
      <w:r>
        <w:rPr>
          <w:rFonts w:ascii="Times New Roman" w:cs="Times New Roman" w:eastAsia="Times New Roman" w:hAnsi="Times New Roman"/>
          <w:sz w:val="18"/>
          <w:szCs w:val="18"/>
          <w:color w:val="auto"/>
        </w:rPr>
        <w:t xml:space="preserve"> to deliver Borrower Materials or notices to the Lenders or (viii) the CUSIP Service Bureau or any similar agency in connection with the application, issuance, publishing and monitoring of CUSIP numbers or other market identifiers with respect to the credit facilities provided hereunder, or (ix) with the consent of the Borrower or to the extent such Information (x) becomes publicly available other than as a result of a breach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-1116330</wp:posOffset>
            </wp:positionV>
            <wp:extent cx="2571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2486025</wp:posOffset>
            </wp:positionH>
            <wp:positionV relativeFrom="paragraph">
              <wp:posOffset>-1167765</wp:posOffset>
            </wp:positionV>
            <wp:extent cx="7518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51840" cy="8890"/>
                    </a:xfrm>
                    <a:prstGeom prst="rect">
                      <a:avLst/>
                    </a:prstGeom>
                    <a:noFill/>
                  </pic:spPr>
                </pic:pic>
              </a:graphicData>
            </a:graphic>
          </wp:anchor>
        </w:drawing>
      </w:r>
    </w:p>
    <w:p>
      <w:pPr>
        <w:jc w:val="both"/>
        <w:ind w:left="180" w:firstLine="4"/>
        <w:spacing w:after="0" w:line="251" w:lineRule="auto"/>
        <w:tabs>
          <w:tab w:leader="none" w:pos="49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becomes available to the Administrative Agent, any Lender, the L/C Issuer or any of their respective Affiliates on a nonconfidential basis from a source other than the Borrower or (xii) is independently discovered or developed by a party hereto without utilizing any Information received from the Borrower or violating the terms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Any Person required to maintain the confidentiality of Information as provided in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200" w:lineRule="exact"/>
        <w:rPr>
          <w:sz w:val="20"/>
          <w:szCs w:val="20"/>
          <w:color w:val="auto"/>
        </w:rPr>
      </w:pPr>
    </w:p>
    <w:p>
      <w:pPr>
        <w:spacing w:after="0" w:line="20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3" w:name="page184"/>
    <w:bookmarkEnd w:id="183"/>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Non-Public Information</w:t>
      </w:r>
      <w:r>
        <w:rPr>
          <w:rFonts w:ascii="Times New Roman" w:cs="Times New Roman" w:eastAsia="Times New Roman" w:hAnsi="Times New Roman"/>
          <w:sz w:val="18"/>
          <w:szCs w:val="18"/>
          <w:color w:val="auto"/>
        </w:rPr>
        <w:t>. Each of the Administrative Agent, the Lenders and the L/C Issuer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80"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Customary Advertising Material</w:t>
      </w:r>
      <w:r>
        <w:rPr>
          <w:rFonts w:ascii="Times New Roman" w:cs="Times New Roman" w:eastAsia="Times New Roman" w:hAnsi="Times New Roman"/>
          <w:sz w:val="18"/>
          <w:szCs w:val="18"/>
          <w:color w:val="auto"/>
        </w:rPr>
        <w:t>. The Loan Parties consent to the publication by the Administrative Agent or any Lender of customary advertising material relating to the transactions contemplated hereby using the name, product photographs, logo or trademark of the Loan Parties.</w:t>
      </w:r>
    </w:p>
    <w:p>
      <w:pPr>
        <w:spacing w:after="0" w:line="17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11.08.</w:t>
      </w:r>
      <w:r>
        <w:rPr>
          <w:sz w:val="20"/>
          <w:szCs w:val="20"/>
          <w:color w:val="auto"/>
        </w:rPr>
        <w:tab/>
      </w:r>
      <w:r>
        <w:rPr>
          <w:rFonts w:ascii="Times New Roman" w:cs="Times New Roman" w:eastAsia="Times New Roman" w:hAnsi="Times New Roman"/>
          <w:sz w:val="17"/>
          <w:szCs w:val="17"/>
          <w:color w:val="auto"/>
        </w:rPr>
        <w:t>Right of Setoff</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an Event of Default shall have occurred and be continuing, each Lender, the L/C Issuer and each of their respective Affiliates is hereby authorized at any time and from time to time, after obtaining the prior written consent of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the L/C Issuer or such Affiliates, irrespective of whether or not such Lender, the L/C Issuer or Affiliate shall have made any demand under this Agreement or any other Loan Document and although such obligations of the Borrower or such Loan Party may be contingent or unmatured, secured or unsecured, or are owed to a branch, office or Affiliate of such Lender or the L/C Issuer different from the branch, office or Affiliate holding such deposit or obligated on such indebtedness;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Secured Obligations owing to such Defaulting Lender as to which it exercised such right of setoff. The rights of each Lender, the L/C Issuer and their respective Affiliates under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are in addition to other rights and remedies (including other rights of setoff) that such Lender, the L/C Issuer or their respective Affiliates may have under Applicable Law. Each Lender and the L/C Issuer agrees to notify the Borrower and the Administrative Agent promptly after any such setoff and application, provided that the failure to give such notice shall not affect the validity of such setoff and application.</w:t>
      </w:r>
    </w:p>
    <w:p>
      <w:pPr>
        <w:spacing w:after="0" w:line="200" w:lineRule="exact"/>
        <w:rPr>
          <w:sz w:val="20"/>
          <w:szCs w:val="20"/>
          <w:color w:val="auto"/>
        </w:rPr>
      </w:pPr>
    </w:p>
    <w:p>
      <w:pPr>
        <w:spacing w:after="0" w:line="20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4" w:name="page185"/>
    <w:bookmarkEnd w:id="184"/>
    <w:p>
      <w:pPr>
        <w:ind w:left="6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11.09.</w:t>
      </w:r>
      <w:r>
        <w:rPr>
          <w:sz w:val="20"/>
          <w:szCs w:val="20"/>
          <w:color w:val="auto"/>
        </w:rPr>
        <w:tab/>
      </w:r>
      <w:r>
        <w:rPr>
          <w:rFonts w:ascii="Times New Roman" w:cs="Times New Roman" w:eastAsia="Times New Roman" w:hAnsi="Times New Roman"/>
          <w:sz w:val="17"/>
          <w:szCs w:val="17"/>
          <w:color w:val="auto"/>
        </w:rPr>
        <w:t>Interest Rate Limitation.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8"/>
          <w:szCs w:val="18"/>
          <w:i w:val="1"/>
          <w:iCs w:val="1"/>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8"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11.10.</w:t>
      </w:r>
      <w:r>
        <w:rPr>
          <w:sz w:val="20"/>
          <w:szCs w:val="20"/>
          <w:color w:val="auto"/>
        </w:rPr>
        <w:tab/>
      </w:r>
      <w:r>
        <w:rPr>
          <w:rFonts w:ascii="Times New Roman" w:cs="Times New Roman" w:eastAsia="Times New Roman" w:hAnsi="Times New Roman"/>
          <w:sz w:val="17"/>
          <w:szCs w:val="17"/>
          <w:color w:val="auto"/>
        </w:rPr>
        <w:t>Counterparts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Integration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Effectiveness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200" w:lineRule="exact"/>
        <w:rPr>
          <w:sz w:val="20"/>
          <w:szCs w:val="20"/>
          <w:color w:val="auto"/>
        </w:rPr>
      </w:pPr>
    </w:p>
    <w:p>
      <w:pPr>
        <w:spacing w:after="0" w:line="20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85" w:name="page186"/>
    <w:bookmarkEnd w:id="185"/>
    <w:p>
      <w:pPr>
        <w:ind w:left="644"/>
        <w:spacing w:after="0"/>
        <w:tabs>
          <w:tab w:leader="none" w:pos="1284" w:val="left"/>
        </w:tabs>
        <w:rPr>
          <w:sz w:val="20"/>
          <w:szCs w:val="20"/>
          <w:color w:val="auto"/>
        </w:rPr>
      </w:pPr>
      <w:r>
        <w:rPr>
          <w:rFonts w:ascii="Times New Roman" w:cs="Times New Roman" w:eastAsia="Times New Roman" w:hAnsi="Times New Roman"/>
          <w:sz w:val="18"/>
          <w:szCs w:val="18"/>
          <w:b w:val="1"/>
          <w:bCs w:val="1"/>
          <w:color w:val="auto"/>
        </w:rPr>
        <w:t>11.11.</w:t>
      </w:r>
      <w:r>
        <w:rPr>
          <w:sz w:val="20"/>
          <w:szCs w:val="20"/>
          <w:color w:val="auto"/>
        </w:rPr>
        <w:tab/>
      </w:r>
      <w:r>
        <w:rPr>
          <w:rFonts w:ascii="Times New Roman" w:cs="Times New Roman" w:eastAsia="Times New Roman" w:hAnsi="Times New Roman"/>
          <w:sz w:val="17"/>
          <w:szCs w:val="17"/>
          <w:color w:val="auto"/>
        </w:rPr>
        <w:t>Survival of Representations and Warranties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3" w:lineRule="exact"/>
        <w:rPr>
          <w:sz w:val="20"/>
          <w:szCs w:val="20"/>
          <w:color w:val="auto"/>
        </w:rPr>
      </w:pPr>
    </w:p>
    <w:p>
      <w:pPr>
        <w:ind w:left="644"/>
        <w:spacing w:after="0"/>
        <w:tabs>
          <w:tab w:leader="none" w:pos="1284" w:val="left"/>
        </w:tabs>
        <w:rPr>
          <w:sz w:val="20"/>
          <w:szCs w:val="20"/>
          <w:color w:val="auto"/>
        </w:rPr>
      </w:pPr>
      <w:r>
        <w:rPr>
          <w:rFonts w:ascii="Times New Roman" w:cs="Times New Roman" w:eastAsia="Times New Roman" w:hAnsi="Times New Roman"/>
          <w:sz w:val="18"/>
          <w:szCs w:val="18"/>
          <w:b w:val="1"/>
          <w:bCs w:val="1"/>
          <w:color w:val="auto"/>
        </w:rPr>
        <w:t>11.12.</w:t>
      </w:r>
      <w:r>
        <w:rPr>
          <w:sz w:val="20"/>
          <w:szCs w:val="20"/>
          <w:color w:val="auto"/>
        </w:rPr>
        <w:tab/>
      </w:r>
      <w:r>
        <w:rPr>
          <w:rFonts w:ascii="Times New Roman" w:cs="Times New Roman" w:eastAsia="Times New Roman" w:hAnsi="Times New Roman"/>
          <w:sz w:val="17"/>
          <w:szCs w:val="17"/>
          <w:color w:val="auto"/>
        </w:rPr>
        <w:t>Severability.</w:t>
      </w:r>
    </w:p>
    <w:p>
      <w:pPr>
        <w:spacing w:after="0" w:line="229"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w:t>
      </w:r>
    </w:p>
    <w:p>
      <w:pPr>
        <w:jc w:val="both"/>
        <w:ind w:left="4" w:hanging="4"/>
        <w:spacing w:after="0" w:line="252" w:lineRule="auto"/>
        <w:tabs>
          <w:tab w:leader="none" w:pos="29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the L/C Issuer </w:t>
      </w:r>
      <w:r>
        <w:rPr>
          <w:rFonts w:ascii="Times New Roman" w:cs="Times New Roman" w:eastAsia="Times New Roman" w:hAnsi="Times New Roman"/>
          <w:sz w:val="18"/>
          <w:szCs w:val="18"/>
          <w:color w:val="FF0000"/>
          <w:strike w:val="1"/>
        </w:rPr>
        <w:t>or the Swingline Lender,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applicable</w:t>
      </w:r>
      <w:r>
        <w:rPr>
          <w:rFonts w:ascii="Times New Roman" w:cs="Times New Roman" w:eastAsia="Times New Roman" w:hAnsi="Times New Roman"/>
          <w:sz w:val="18"/>
          <w:szCs w:val="18"/>
          <w:color w:val="000000"/>
        </w:rPr>
        <w:t>, then such provisions shall be deemed to be in effect only to the extent not so limited.</w:t>
      </w:r>
    </w:p>
    <w:p>
      <w:pPr>
        <w:spacing w:after="0" w:line="186" w:lineRule="exact"/>
        <w:rPr>
          <w:sz w:val="20"/>
          <w:szCs w:val="20"/>
          <w:color w:val="auto"/>
        </w:rPr>
      </w:pPr>
    </w:p>
    <w:p>
      <w:pPr>
        <w:ind w:left="644"/>
        <w:spacing w:after="0"/>
        <w:tabs>
          <w:tab w:leader="none" w:pos="1284" w:val="left"/>
        </w:tabs>
        <w:rPr>
          <w:sz w:val="20"/>
          <w:szCs w:val="20"/>
          <w:color w:val="auto"/>
        </w:rPr>
      </w:pPr>
      <w:r>
        <w:rPr>
          <w:rFonts w:ascii="Times New Roman" w:cs="Times New Roman" w:eastAsia="Times New Roman" w:hAnsi="Times New Roman"/>
          <w:sz w:val="18"/>
          <w:szCs w:val="18"/>
          <w:b w:val="1"/>
          <w:bCs w:val="1"/>
          <w:color w:val="auto"/>
        </w:rPr>
        <w:t>11.13.</w:t>
      </w:r>
      <w:r>
        <w:rPr>
          <w:sz w:val="20"/>
          <w:szCs w:val="20"/>
          <w:color w:val="auto"/>
        </w:rPr>
        <w:tab/>
      </w:r>
      <w:r>
        <w:rPr>
          <w:rFonts w:ascii="Times New Roman" w:cs="Times New Roman" w:eastAsia="Times New Roman" w:hAnsi="Times New Roman"/>
          <w:sz w:val="17"/>
          <w:szCs w:val="17"/>
          <w:color w:val="auto"/>
        </w:rPr>
        <w:t>Replacement of Lenders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644"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If the Borrower is entitled to replace a Lender pursuant to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or if any Lender is a Defaulting Lender or a Non-Consenting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all of its interests, rights (other than its existing rights to payments pursuant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w:t>
      </w:r>
    </w:p>
    <w:p>
      <w:pPr>
        <w:spacing w:after="0" w:line="189" w:lineRule="exact"/>
        <w:rPr>
          <w:sz w:val="20"/>
          <w:szCs w:val="20"/>
          <w:color w:val="auto"/>
        </w:rPr>
      </w:pPr>
    </w:p>
    <w:p>
      <w:pPr>
        <w:jc w:val="both"/>
        <w:ind w:left="1304"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the Borrower shall have paid to the Administrative Agent the assignment fee (if any) specified in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04"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            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180" w:lineRule="exact"/>
        <w:rPr>
          <w:sz w:val="20"/>
          <w:szCs w:val="20"/>
          <w:color w:val="auto"/>
        </w:rPr>
      </w:pPr>
    </w:p>
    <w:p>
      <w:pPr>
        <w:jc w:val="both"/>
        <w:ind w:left="1304"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392"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86" w:name="page187"/>
    <w:bookmarkEnd w:id="186"/>
    <w:p>
      <w:pPr>
        <w:ind w:left="2120" w:hanging="654"/>
        <w:spacing w:after="0"/>
        <w:tabs>
          <w:tab w:leader="none" w:pos="21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 and</w:t>
      </w:r>
    </w:p>
    <w:p>
      <w:pPr>
        <w:spacing w:after="0" w:line="225"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(v)           in the case of an assignment resulting from a Lender becoming a Non-Consenting Lender, the applicable assignee shall have consented to the applicable amendment, waiver or consent,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w:t>
      </w:r>
      <w:r>
        <w:rPr>
          <w:rFonts w:ascii="Times New Roman" w:cs="Times New Roman" w:eastAsia="Times New Roman" w:hAnsi="Times New Roman"/>
          <w:sz w:val="18"/>
          <w:szCs w:val="18"/>
          <w:color w:val="FF0000"/>
          <w:strike w:val="1"/>
        </w:rPr>
        <w:t>and Swingline Loans</w:t>
      </w:r>
      <w:r>
        <w:rPr>
          <w:rFonts w:ascii="Times New Roman" w:cs="Times New Roman" w:eastAsia="Times New Roman" w:hAnsi="Times New Roman"/>
          <w:sz w:val="18"/>
          <w:szCs w:val="18"/>
          <w:color w:val="auto"/>
        </w:rPr>
        <w:t xml:space="preserve">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shall nevertheless be effective without the execution by such Non-Consenting Lender of an Assignment and Assumption.</w:t>
      </w:r>
    </w:p>
    <w:p>
      <w:pPr>
        <w:spacing w:after="0" w:line="187" w:lineRule="exact"/>
        <w:rPr>
          <w:sz w:val="20"/>
          <w:szCs w:val="20"/>
          <w:color w:val="auto"/>
        </w:rPr>
      </w:pPr>
    </w:p>
    <w:p>
      <w:pPr>
        <w:ind w:left="180" w:right="20" w:firstLine="648"/>
        <w:spacing w:after="0" w:line="282" w:lineRule="auto"/>
        <w:rPr>
          <w:sz w:val="20"/>
          <w:szCs w:val="20"/>
          <w:color w:val="auto"/>
        </w:rPr>
      </w:pPr>
      <w:r>
        <w:rPr>
          <w:rFonts w:ascii="Times New Roman" w:cs="Times New Roman" w:eastAsia="Times New Roman" w:hAnsi="Times New Roman"/>
          <w:sz w:val="18"/>
          <w:szCs w:val="18"/>
          <w:color w:val="auto"/>
        </w:rPr>
        <w:t>(b)            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2" w:lineRule="exact"/>
        <w:rPr>
          <w:sz w:val="20"/>
          <w:szCs w:val="20"/>
          <w:color w:val="auto"/>
        </w:rPr>
      </w:pPr>
    </w:p>
    <w:p>
      <w:pPr>
        <w:jc w:val="both"/>
        <w:ind w:left="180" w:firstLine="652"/>
        <w:spacing w:after="0" w:line="256" w:lineRule="auto"/>
        <w:tabs>
          <w:tab w:leader="none" w:pos="108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Each party hereto agrees that (i) an assignment required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i w:val="1"/>
          <w:iCs w:val="1"/>
          <w:u w:val="single" w:color="auto"/>
          <w:color w:val="auto"/>
        </w:rPr>
        <w:t>provided further</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87"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(d)            Notwithstanding anything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to the contrary, (A)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(B)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11.14.</w:t>
      </w:r>
      <w:r>
        <w:rPr>
          <w:sz w:val="20"/>
          <w:szCs w:val="20"/>
          <w:color w:val="auto"/>
        </w:rPr>
        <w:tab/>
      </w:r>
      <w:r>
        <w:rPr>
          <w:rFonts w:ascii="Times New Roman" w:cs="Times New Roman" w:eastAsia="Times New Roman" w:hAnsi="Times New Roman"/>
          <w:sz w:val="17"/>
          <w:szCs w:val="17"/>
          <w:color w:val="auto"/>
        </w:rPr>
        <w:t>Governing Law</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Jurisdiction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Etc</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200" w:lineRule="exact"/>
        <w:rPr>
          <w:sz w:val="20"/>
          <w:szCs w:val="20"/>
          <w:color w:val="auto"/>
        </w:rPr>
      </w:pPr>
    </w:p>
    <w:p>
      <w:pPr>
        <w:spacing w:after="0" w:line="20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7" w:name="page188"/>
    <w:bookmarkEnd w:id="187"/>
    <w:p>
      <w:pPr>
        <w:jc w:val="both"/>
        <w:ind w:left="644"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SUBMISSION TO JURISDICTION</w:t>
      </w:r>
      <w:r>
        <w:rPr>
          <w:rFonts w:ascii="Times New Roman" w:cs="Times New Roman" w:eastAsia="Times New Roman" w:hAnsi="Times New Roman"/>
          <w:sz w:val="18"/>
          <w:szCs w:val="18"/>
          <w:color w:val="auto"/>
        </w:rPr>
        <w:t>. EACH OF THE PARTIES HERETO HEREBY IRREVOCABLY AND UNCONDITIONALLY AGREES THAT IT WILL NOT COMMENCE ANY ACTION, LITIGATION OR PROCEEDING OF ANY KIND OR DESCRIPTION, WHETHER IN LAW OR EQUITY, WHETHER IN CONTRACT OR IN TORT OR OTHERWISE, AGAINST ANY OTHER PARTY HERETO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ENFORCEMENT OF LIENS OR COLLATERAL UNDER THIS AGREEMENT OR ANY OTHER LOAN DOCUMENT AGAINST THE BORROWER OR ANY OTHER LOAN PARTY OR ITS PROPERTIES IN THE COURTS OF ANY JURISDICTION WHERE SUCH COLLATERAL IS LOCATED.</w:t>
      </w:r>
    </w:p>
    <w:p>
      <w:pPr>
        <w:spacing w:after="0" w:line="192" w:lineRule="exact"/>
        <w:rPr>
          <w:sz w:val="20"/>
          <w:szCs w:val="20"/>
          <w:color w:val="auto"/>
        </w:rPr>
      </w:pPr>
    </w:p>
    <w:p>
      <w:pPr>
        <w:jc w:val="both"/>
        <w:ind w:left="644"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WAIVER OF VENUE</w:t>
      </w:r>
      <w:r>
        <w:rPr>
          <w:rFonts w:ascii="Times New Roman" w:cs="Times New Roman" w:eastAsia="Times New Roman" w:hAnsi="Times New Roman"/>
          <w:sz w:val="18"/>
          <w:szCs w:val="18"/>
          <w:color w:val="auto"/>
        </w:rPr>
        <w:t xml:space="preserve">.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EACH PARTY HERETO HEREBY IRREVOCABLY AND UNCONDITIONALLY WAIVES, TO THE FULLEST EXTENT PERMITTED BY APPLICABLE LAW, THE DEFENSE OF AN INCONVENIENT FORUM TO THE MAINTENANCE OF SUCH ACTION OR PROCEEDING IN ANY SUCH COURT.</w:t>
      </w:r>
    </w:p>
    <w:p>
      <w:pPr>
        <w:spacing w:after="0" w:line="189" w:lineRule="exact"/>
        <w:rPr>
          <w:sz w:val="20"/>
          <w:szCs w:val="20"/>
          <w:color w:val="auto"/>
        </w:rPr>
      </w:pPr>
    </w:p>
    <w:p>
      <w:pPr>
        <w:jc w:val="both"/>
        <w:ind w:left="644"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2" w:lineRule="exact"/>
        <w:rPr>
          <w:sz w:val="20"/>
          <w:szCs w:val="20"/>
          <w:color w:val="auto"/>
        </w:rPr>
      </w:pPr>
    </w:p>
    <w:p>
      <w:pPr>
        <w:ind w:left="644"/>
        <w:spacing w:after="0"/>
        <w:tabs>
          <w:tab w:leader="none" w:pos="1284" w:val="left"/>
        </w:tabs>
        <w:rPr>
          <w:sz w:val="20"/>
          <w:szCs w:val="20"/>
          <w:color w:val="auto"/>
        </w:rPr>
      </w:pPr>
      <w:r>
        <w:rPr>
          <w:rFonts w:ascii="Times New Roman" w:cs="Times New Roman" w:eastAsia="Times New Roman" w:hAnsi="Times New Roman"/>
          <w:sz w:val="18"/>
          <w:szCs w:val="18"/>
          <w:b w:val="1"/>
          <w:bCs w:val="1"/>
          <w:color w:val="auto"/>
        </w:rPr>
        <w:t>11.15.</w:t>
      </w:r>
      <w:r>
        <w:rPr>
          <w:sz w:val="20"/>
          <w:szCs w:val="20"/>
          <w:color w:val="auto"/>
        </w:rPr>
        <w:tab/>
      </w:r>
      <w:r>
        <w:rPr>
          <w:rFonts w:ascii="Times New Roman" w:cs="Times New Roman" w:eastAsia="Times New Roman" w:hAnsi="Times New Roman"/>
          <w:sz w:val="17"/>
          <w:szCs w:val="17"/>
          <w:color w:val="auto"/>
        </w:rPr>
        <w:t>Waiver of Jury Trial</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7"/>
          <w:szCs w:val="17"/>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5" w:lineRule="exact"/>
        <w:rPr>
          <w:sz w:val="20"/>
          <w:szCs w:val="20"/>
          <w:color w:val="auto"/>
        </w:rPr>
      </w:pPr>
    </w:p>
    <w:p>
      <w:pPr>
        <w:jc w:val="both"/>
        <w:ind w:left="4" w:hanging="4"/>
        <w:spacing w:after="0" w:line="255" w:lineRule="auto"/>
        <w:tabs>
          <w:tab w:leader="none" w:pos="26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88" w:name="page189"/>
    <w:bookmarkEnd w:id="188"/>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11.16.</w:t>
      </w:r>
      <w:r>
        <w:rPr>
          <w:sz w:val="20"/>
          <w:szCs w:val="20"/>
          <w:color w:val="auto"/>
        </w:rPr>
        <w:tab/>
      </w:r>
      <w:r>
        <w:rPr>
          <w:rFonts w:ascii="Times New Roman" w:cs="Times New Roman" w:eastAsia="Times New Roman" w:hAnsi="Times New Roman"/>
          <w:sz w:val="18"/>
          <w:szCs w:val="18"/>
          <w:color w:val="auto"/>
        </w:rPr>
        <w:t>No Advisory or Fiduciary Responsibility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(a) (i) the arranging and other services regarding this Agreement provided by the Administrative Agent, the Arrangers and the Lenders and their respective Affiliates are arm’s-length commercial transactions between the Borrower, each other Loan Party and their respective Affiliates, on the one hand, and the Administrative Agent, the Arrangers and the Lenders and their respective Affiliates,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 (b) (i) the Administrative Agent, each Arranger and each Lender and each of their respective Affiliates each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(ii) neither the Administrative Agent, any Arranger, nor any Lender nor any of their respective Affiliates has any obligation to the Borrower, any other Loan Party or any of their respective Affiliates with respect to the transactions contemplated hereby except those obligations expressly set forth herein and in the other Loan Documents; and (c) the Administrative Agent, the Arrangers and the Lenders and their respective Affiliates may be engaged in a broad range of transactions that involve interests that differ from those of the Borrower, the other Loan Parties and their respective Affiliates, and neither the Administrative Agent, any Arranger, nor any Lender nor any of their respective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the Arrangers, the Lenders and their respective Affiliates with respect to any breach or alleged breach of agency or fiduciary duty in connection with any aspect of any transactions contemplated hereby.</w:t>
      </w:r>
    </w:p>
    <w:p>
      <w:pPr>
        <w:spacing w:after="0" w:line="187"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11.17.</w:t>
      </w:r>
      <w:r>
        <w:rPr>
          <w:sz w:val="20"/>
          <w:szCs w:val="20"/>
          <w:color w:val="auto"/>
        </w:rPr>
        <w:tab/>
      </w:r>
      <w:r>
        <w:rPr>
          <w:rFonts w:ascii="Times New Roman" w:cs="Times New Roman" w:eastAsia="Times New Roman" w:hAnsi="Times New Roman"/>
          <w:sz w:val="17"/>
          <w:szCs w:val="17"/>
          <w:color w:val="auto"/>
        </w:rPr>
        <w:t>Electronic Execution; Electronic Records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The words “delivery,” “execute,” “execution,” “signed,” “signature,” and words of like import in any Loan Document or any other document executed in connection herewith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b w:val="1"/>
          <w:bCs w:val="1"/>
          <w:i w:val="1"/>
          <w:iCs w:val="1"/>
          <w:u w:val="single" w:color="auto"/>
          <w:color w:val="auto"/>
        </w:rPr>
        <w:t>provided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notwithstanding anything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contained herein to the contrary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 Administrative Agent is under no obligation to agree to accept electronic signatures in any form or in any format unless expressly agreed to by the Administrative Agent pursuant to procedures approved by it; </w:t>
      </w:r>
      <w:r>
        <w:rPr>
          <w:rFonts w:ascii="Times New Roman" w:cs="Times New Roman" w:eastAsia="Times New Roman" w:hAnsi="Times New Roman"/>
          <w:sz w:val="18"/>
          <w:szCs w:val="18"/>
          <w:b w:val="1"/>
          <w:bCs w:val="1"/>
          <w:i w:val="1"/>
          <w:iCs w:val="1"/>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u w:val="single" w:color="auto"/>
          <w:color w:val="auto"/>
        </w:rPr>
        <w:t>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without limiting the foregoing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upon the request of the Administrative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any electronic signature shall be promptly followed by such manually executed counterpart</w:t>
      </w:r>
      <w:r>
        <w:rPr>
          <w:rFonts w:ascii="Times New Roman" w:cs="Times New Roman" w:eastAsia="Times New Roman" w:hAnsi="Times New Roman"/>
          <w:sz w:val="18"/>
          <w:szCs w:val="18"/>
          <w:color w:val="auto"/>
        </w:rPr>
        <w:t>. For the avoidance of doubt, the authorization under this paragraph may include, without limitation,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or acceptance by the Administrative Agent and each of the Secured Parties of a manually signed paper document, amendment, approval, consent, information, notice, certificate, request, statement, disclosure or authorization related to this Agreement (each a “Communication”) which has been converted into electronic form (such as scanned into PDF format), or an electronically signed Communication converted into another format, for transmission, delivery and/or retention.</w:t>
      </w:r>
    </w:p>
    <w:p>
      <w:pPr>
        <w:spacing w:after="0" w:line="200" w:lineRule="exact"/>
        <w:rPr>
          <w:sz w:val="20"/>
          <w:szCs w:val="20"/>
          <w:color w:val="auto"/>
        </w:rPr>
      </w:pPr>
    </w:p>
    <w:p>
      <w:pPr>
        <w:spacing w:after="0" w:line="2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89" w:name="page190"/>
    <w:bookmarkEnd w:id="189"/>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(b)            The Borrower hereby acknowledges the receipt of a copy of this Agreement and all other Loan Documents. The Administrative Agent and each Lender may, on behalf of the Borrower, create a microfilm or optical disk or other electronic image of this Agreement and any or all of the other Loan Documents. The Administrative Agent and each Lender may store the electronic image of this Agreement and the other Loan Documents in its electronic form and then destroy the paper original as part of the Administrative Agent’s and each Lender’s normal business practices, with the electronic image deemed to be an original and of the same legal effect, validity and enforceability as the paper originals.</w:t>
      </w:r>
    </w:p>
    <w:p>
      <w:pPr>
        <w:spacing w:after="0" w:line="183"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11.18.</w:t>
      </w:r>
      <w:r>
        <w:rPr>
          <w:sz w:val="20"/>
          <w:szCs w:val="20"/>
          <w:color w:val="auto"/>
        </w:rPr>
        <w:tab/>
      </w:r>
      <w:r>
        <w:rPr>
          <w:rFonts w:ascii="Times New Roman" w:cs="Times New Roman" w:eastAsia="Times New Roman" w:hAnsi="Times New Roman"/>
          <w:sz w:val="17"/>
          <w:szCs w:val="17"/>
          <w:color w:val="auto"/>
        </w:rPr>
        <w:t>USA Patriot Act Notice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Lender that is subject to the Patriot Act and the Administrative Agent (for itself and not on behalf of any Lender) hereby notifies the Borrower and the other Loan Parties that pursuant to the requirements of the USA PATRIOT Act (Title III of Pub. L. 107–56 (signed into law October 26, 2001)) (the “</w:t>
      </w:r>
      <w:r>
        <w:rPr>
          <w:rFonts w:ascii="Times New Roman" w:cs="Times New Roman" w:eastAsia="Times New Roman" w:hAnsi="Times New Roman"/>
          <w:sz w:val="18"/>
          <w:szCs w:val="18"/>
          <w:i w:val="1"/>
          <w:iCs w:val="1"/>
          <w:u w:val="single" w:color="auto"/>
          <w:color w:val="auto"/>
        </w:rPr>
        <w:t>Patriot Act</w:t>
      </w:r>
      <w:r>
        <w:rPr>
          <w:rFonts w:ascii="Times New Roman" w:cs="Times New Roman" w:eastAsia="Times New Roman" w:hAnsi="Times New Roman"/>
          <w:sz w:val="18"/>
          <w:szCs w:val="18"/>
          <w:color w:val="auto"/>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Patriot Act. The Borrower and each other Loan Party shall,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spacing w:after="0" w:line="188"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11.19.</w:t>
      </w:r>
      <w:r>
        <w:rPr>
          <w:sz w:val="20"/>
          <w:szCs w:val="20"/>
          <w:color w:val="auto"/>
        </w:rPr>
        <w:tab/>
      </w:r>
      <w:r>
        <w:rPr>
          <w:rFonts w:ascii="Times New Roman" w:cs="Times New Roman" w:eastAsia="Times New Roman" w:hAnsi="Times New Roman"/>
          <w:sz w:val="17"/>
          <w:szCs w:val="17"/>
          <w:color w:val="auto"/>
        </w:rPr>
        <w:t>Acknowledgement and Consent to Bail-In of Affected Financial Institutions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a Resolution Authority and agrees and consents to, and acknowledges and agrees to be bound by:</w:t>
      </w:r>
    </w:p>
    <w:p>
      <w:pPr>
        <w:spacing w:after="0" w:line="183"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auto"/>
        </w:rPr>
        <w:t>(i)            the application of any Write-Down and Conversion Powers by an Resolution Authority to any such liabilities arising hereunder which may be payable to it by any party hereto that is an Affected Financial Institution; and</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(ii)            the effects of any Bail-In Action on any such liability, including, if applicable:</w:t>
      </w:r>
    </w:p>
    <w:p>
      <w:pPr>
        <w:spacing w:after="0" w:line="200" w:lineRule="exact"/>
        <w:rPr>
          <w:sz w:val="20"/>
          <w:szCs w:val="20"/>
          <w:color w:val="auto"/>
        </w:rPr>
      </w:pPr>
    </w:p>
    <w:p>
      <w:pPr>
        <w:spacing w:after="0" w:line="24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0" w:name="page191"/>
    <w:bookmarkEnd w:id="190"/>
    <w:p>
      <w:pPr>
        <w:ind w:left="2580" w:hanging="654"/>
        <w:spacing w:after="0"/>
        <w:tabs>
          <w:tab w:leader="none" w:pos="2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(iv)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(v)            the variation of the terms of such liability in connection with the exercise of the Write-Down and Conversion Powers of any Resolution Authority.</w:t>
      </w:r>
    </w:p>
    <w:p>
      <w:pPr>
        <w:spacing w:after="0" w:line="158"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11.20.</w:t>
      </w:r>
      <w:r>
        <w:rPr>
          <w:sz w:val="20"/>
          <w:szCs w:val="20"/>
          <w:color w:val="auto"/>
        </w:rPr>
        <w:tab/>
      </w:r>
      <w:r>
        <w:rPr>
          <w:rFonts w:ascii="Times New Roman" w:cs="Times New Roman" w:eastAsia="Times New Roman" w:hAnsi="Times New Roman"/>
          <w:sz w:val="17"/>
          <w:szCs w:val="17"/>
          <w:color w:val="auto"/>
        </w:rPr>
        <w:t>Acknowledgement Regarding Any Supported QFCs.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18"/>
          <w:szCs w:val="18"/>
          <w:i w:val="1"/>
          <w:iCs w:val="1"/>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i w:val="1"/>
          <w:iCs w:val="1"/>
          <w:u w:val="single" w:color="auto"/>
          <w:color w:val="auto"/>
        </w:rPr>
        <w:t>Supported QFC</w:t>
      </w:r>
      <w:r>
        <w:rPr>
          <w:rFonts w:ascii="Times New Roman" w:cs="Times New Roman" w:eastAsia="Times New Roman" w:hAnsi="Times New Roman"/>
          <w:sz w:val="18"/>
          <w:szCs w:val="18"/>
          <w:color w:val="auto"/>
        </w:rPr>
        <w:t xml:space="preserve">”),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w:t>
      </w:r>
      <w:r>
        <w:rPr>
          <w:rFonts w:ascii="Times New Roman" w:cs="Times New Roman" w:eastAsia="Times New Roman" w:hAnsi="Times New Roman"/>
          <w:sz w:val="18"/>
          <w:szCs w:val="18"/>
          <w:i w:val="1"/>
          <w:iCs w:val="1"/>
          <w:u w:val="single" w:color="auto"/>
          <w:color w:val="auto"/>
        </w:rPr>
        <w:t>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18"/>
          <w:szCs w:val="18"/>
          <w:i w:val="1"/>
          <w:iCs w:val="1"/>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[Remainder of Page is Intentionally Blank]</w:t>
      </w:r>
    </w:p>
    <w:p>
      <w:pPr>
        <w:spacing w:after="0" w:line="200" w:lineRule="exact"/>
        <w:rPr>
          <w:sz w:val="20"/>
          <w:szCs w:val="20"/>
          <w:color w:val="auto"/>
        </w:rPr>
      </w:pPr>
    </w:p>
    <w:p>
      <w:pPr>
        <w:spacing w:after="0" w:line="24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580"/>
      </w:cols>
      <w:pgMar w:left="98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decimal"/>
      <w:start w:val="104"/>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1)"/>
      <w:numFmt w:val="lowerRoman"/>
      <w:start w:val="2"/>
    </w:lvl>
  </w:abstractNum>
  <w:abstractNum w:abstractNumId="4">
    <w:nsid w:val="57E4CCAF"/>
    <w:multiLevelType w:val="hybridMultilevel"/>
    <w:lvl w:ilvl="0">
      <w:lvlJc w:val="left"/>
      <w:lvlText w:val="(%1)"/>
      <w:numFmt w:val="lowerLetter"/>
      <w:start w:val="2"/>
    </w:lvl>
  </w:abstractNum>
  <w:abstractNum w:abstractNumId="5">
    <w:nsid w:val="7A6D8D3C"/>
    <w:multiLevelType w:val="hybridMultilevel"/>
    <w:lvl w:ilvl="0">
      <w:lvlJc w:val="left"/>
      <w:lvlText w:val="(%1)"/>
      <w:numFmt w:val="lowerRoman"/>
      <w:start w:val="2"/>
    </w:lvl>
  </w:abstractNum>
  <w:abstractNum w:abstractNumId="6">
    <w:nsid w:val="4B588F54"/>
    <w:multiLevelType w:val="hybridMultilevel"/>
    <w:lvl w:ilvl="0">
      <w:lvlJc w:val="left"/>
      <w:lvlText w:val="(%1)"/>
      <w:numFmt w:val="lowerRoman"/>
      <w:start w:val="4"/>
    </w:lvl>
  </w:abstractNum>
  <w:abstractNum w:abstractNumId="7">
    <w:nsid w:val="542289EC"/>
    <w:multiLevelType w:val="hybridMultilevel"/>
    <w:lvl w:ilvl="0">
      <w:lvlJc w:val="left"/>
      <w:lvlText w:val="(%1)"/>
      <w:numFmt w:val="decimal"/>
      <w:start w:val="2"/>
    </w:lvl>
  </w:abstractNum>
  <w:abstractNum w:abstractNumId="8">
    <w:nsid w:val="6DE91B18"/>
    <w:multiLevelType w:val="hybridMultilevel"/>
    <w:lvl w:ilvl="0">
      <w:lvlJc w:val="left"/>
      <w:lvlText w:val="(%1)"/>
      <w:numFmt w:val="lowerRoman"/>
      <w:start w:val="1"/>
    </w:lvl>
  </w:abstractNum>
  <w:abstractNum w:abstractNumId="9">
    <w:nsid w:val="38437FDB"/>
    <w:multiLevelType w:val="hybridMultilevel"/>
    <w:lvl w:ilvl="0">
      <w:lvlJc w:val="left"/>
      <w:lvlText w:val="(%1)"/>
      <w:numFmt w:val="lowerLetter"/>
      <w:start w:val="2"/>
    </w:lvl>
  </w:abstractNum>
  <w:abstractNum w:abstractNumId="10">
    <w:nsid w:val="7644A45C"/>
    <w:multiLevelType w:val="hybridMultilevel"/>
    <w:lvl w:ilvl="0">
      <w:lvlJc w:val="left"/>
      <w:lvlText w:val="(%1)"/>
      <w:numFmt w:val="lowerLetter"/>
      <w:start w:val="2"/>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1)"/>
      <w:numFmt w:val="lowerLetter"/>
      <w:start w:val="1"/>
    </w:lvl>
  </w:abstractNum>
  <w:abstractNum w:abstractNumId="13">
    <w:nsid w:val="579478FE"/>
    <w:multiLevelType w:val="hybridMultilevel"/>
    <w:lvl w:ilvl="0">
      <w:lvlJc w:val="left"/>
      <w:lvlText w:val="(%1)"/>
      <w:numFmt w:val="lowerRoman"/>
      <w:start w:val="2"/>
    </w:lvl>
  </w:abstractNum>
  <w:abstractNum w:abstractNumId="14">
    <w:nsid w:val="749ABB43"/>
    <w:multiLevelType w:val="hybridMultilevel"/>
    <w:lvl w:ilvl="0">
      <w:lvlJc w:val="left"/>
      <w:lvlText w:val="(%1)"/>
      <w:numFmt w:val="decimal"/>
      <w:start w:val="2"/>
    </w:lvl>
  </w:abstractNum>
  <w:abstractNum w:abstractNumId="15">
    <w:nsid w:val="3DC240FB"/>
    <w:multiLevelType w:val="hybridMultilevel"/>
    <w:lvl w:ilvl="0">
      <w:lvlJc w:val="left"/>
      <w:lvlText w:val="(%1)"/>
      <w:numFmt w:val="lowerLetter"/>
      <w:start w:val="2"/>
    </w:lvl>
  </w:abstractNum>
  <w:abstractNum w:abstractNumId="16">
    <w:nsid w:val="1BA026FA"/>
    <w:multiLevelType w:val="hybridMultilevel"/>
    <w:lvl w:ilvl="0">
      <w:lvlJc w:val="left"/>
      <w:lvlText w:val="(%1)"/>
      <w:numFmt w:val="lowerLetter"/>
      <w:start w:val="1"/>
    </w:lvl>
  </w:abstractNum>
  <w:abstractNum w:abstractNumId="17">
    <w:nsid w:val="79A1DEAA"/>
    <w:multiLevelType w:val="hybridMultilevel"/>
    <w:lvl w:ilvl="0">
      <w:lvlJc w:val="left"/>
      <w:lvlText w:val="(%1)"/>
      <w:numFmt w:val="upperLetter"/>
      <w:start w:val="2"/>
    </w:lvl>
  </w:abstractNum>
  <w:abstractNum w:abstractNumId="18">
    <w:nsid w:val="75C6C33A"/>
    <w:multiLevelType w:val="hybridMultilevel"/>
    <w:lvl w:ilvl="0">
      <w:lvlJc w:val="left"/>
      <w:lvlText w:val="(%1)"/>
      <w:numFmt w:val="lowerLetter"/>
      <w:start w:val="2"/>
    </w:lvl>
  </w:abstractNum>
  <w:abstractNum w:abstractNumId="19">
    <w:nsid w:val="12E685FB"/>
    <w:multiLevelType w:val="hybridMultilevel"/>
    <w:lvl w:ilvl="0">
      <w:lvlJc w:val="left"/>
      <w:lvlText w:val="(%1)"/>
      <w:numFmt w:val="lowerLetter"/>
      <w:start w:val="25"/>
    </w:lvl>
  </w:abstractNum>
  <w:abstractNum w:abstractNumId="20">
    <w:nsid w:val="70C6A529"/>
    <w:multiLevelType w:val="hybridMultilevel"/>
    <w:lvl w:ilvl="0">
      <w:lvlJc w:val="left"/>
      <w:lvlText w:val="(%1)"/>
      <w:numFmt w:val="upperLetter"/>
      <w:start w:val="4"/>
    </w:lvl>
  </w:abstractNum>
  <w:abstractNum w:abstractNumId="21">
    <w:nsid w:val="520EEDD1"/>
    <w:multiLevelType w:val="hybridMultilevel"/>
    <w:lvl w:ilvl="0">
      <w:lvlJc w:val="left"/>
      <w:lvlText w:val="(%1)"/>
      <w:numFmt w:val="lowerLetter"/>
      <w:start w:val="17"/>
    </w:lvl>
  </w:abstractNum>
  <w:abstractNum w:abstractNumId="22">
    <w:nsid w:val="374A3FE6"/>
    <w:multiLevelType w:val="hybridMultilevel"/>
    <w:lvl w:ilvl="0">
      <w:lvlJc w:val="left"/>
      <w:lvlText w:val="(%1)"/>
      <w:numFmt w:val="decimal"/>
      <w:start w:val="3"/>
    </w:lvl>
  </w:abstractNum>
  <w:abstractNum w:abstractNumId="23">
    <w:nsid w:val="4F4EF005"/>
    <w:multiLevelType w:val="hybridMultilevel"/>
    <w:lvl w:ilvl="0">
      <w:lvlJc w:val="left"/>
      <w:lvlText w:val="(%1)"/>
      <w:numFmt w:val="lowerLetter"/>
      <w:start w:val="1"/>
    </w:lvl>
  </w:abstractNum>
  <w:abstractNum w:abstractNumId="24">
    <w:nsid w:val="23F9C13C"/>
    <w:multiLevelType w:val="hybridMultilevel"/>
    <w:lvl w:ilvl="0">
      <w:lvlJc w:val="left"/>
      <w:lvlText w:val="(%1)"/>
      <w:numFmt w:val="lowerLetter"/>
      <w:start w:val="3"/>
    </w:lvl>
  </w:abstractNum>
  <w:abstractNum w:abstractNumId="25">
    <w:nsid w:val="649BB77C"/>
    <w:multiLevelType w:val="hybridMultilevel"/>
    <w:lvl w:ilvl="0">
      <w:lvlJc w:val="left"/>
      <w:lvlText w:val="(%1)"/>
      <w:numFmt w:val="upperLetter"/>
      <w:start w:val="1"/>
    </w:lvl>
  </w:abstractNum>
  <w:abstractNum w:abstractNumId="26">
    <w:nsid w:val="275AC794"/>
    <w:multiLevelType w:val="hybridMultilevel"/>
    <w:lvl w:ilvl="0">
      <w:lvlJc w:val="left"/>
      <w:lvlText w:val="(%1)"/>
      <w:numFmt w:val="lowerLetter"/>
      <w:start w:val="4"/>
    </w:lvl>
    <w:lvl w:ilvl="1">
      <w:lvlJc w:val="left"/>
      <w:lvlText w:val="(%2)"/>
      <w:numFmt w:val="lowerRoman"/>
      <w:start w:val="1"/>
    </w:lvl>
  </w:abstractNum>
  <w:abstractNum w:abstractNumId="27">
    <w:nsid w:val="39386575"/>
    <w:multiLevelType w:val="hybridMultilevel"/>
    <w:lvl w:ilvl="0">
      <w:lvlJc w:val="left"/>
      <w:lvlText w:val="(%1)"/>
      <w:numFmt w:val="lowerRoman"/>
      <w:start w:val="2"/>
    </w:lvl>
  </w:abstractNum>
  <w:abstractNum w:abstractNumId="28">
    <w:nsid w:val="1CF10FD8"/>
    <w:multiLevelType w:val="hybridMultilevel"/>
    <w:lvl w:ilvl="0">
      <w:lvlJc w:val="left"/>
      <w:lvlText w:val="(%1)"/>
      <w:numFmt w:val="decimal"/>
      <w:start w:val="3"/>
    </w:lvl>
  </w:abstractNum>
  <w:abstractNum w:abstractNumId="29">
    <w:nsid w:val="180115BE"/>
    <w:multiLevelType w:val="hybridMultilevel"/>
    <w:lvl w:ilvl="0">
      <w:lvlJc w:val="left"/>
      <w:lvlText w:val="(%1)"/>
      <w:numFmt w:val="upperLetter"/>
      <w:start w:val="3"/>
    </w:lvl>
  </w:abstractNum>
  <w:abstractNum w:abstractNumId="30">
    <w:nsid w:val="235BA861"/>
    <w:multiLevelType w:val="hybridMultilevel"/>
    <w:lvl w:ilvl="0">
      <w:lvlJc w:val="left"/>
      <w:lvlText w:val="(%1)"/>
      <w:numFmt w:val="upperLetter"/>
      <w:start w:val="1"/>
    </w:lvl>
  </w:abstractNum>
  <w:abstractNum w:abstractNumId="31">
    <w:nsid w:val="47398C89"/>
    <w:multiLevelType w:val="hybridMultilevel"/>
    <w:lvl w:ilvl="0">
      <w:lvlJc w:val="left"/>
      <w:lvlText w:val="(%1)"/>
      <w:numFmt w:val="lowerLetter"/>
      <w:start w:val="25"/>
    </w:lvl>
  </w:abstractNum>
  <w:abstractNum w:abstractNumId="32">
    <w:nsid w:val="354FE9F9"/>
    <w:multiLevelType w:val="hybridMultilevel"/>
    <w:lvl w:ilvl="0">
      <w:lvlJc w:val="left"/>
      <w:lvlText w:val="(%1)"/>
      <w:numFmt w:val="lowerRoman"/>
      <w:start w:val="1"/>
    </w:lvl>
  </w:abstractNum>
  <w:abstractNum w:abstractNumId="33">
    <w:nsid w:val="15B5AF5C"/>
    <w:multiLevelType w:val="hybridMultilevel"/>
    <w:lvl w:ilvl="0">
      <w:lvlJc w:val="left"/>
      <w:lvlText w:val="(%1)"/>
      <w:numFmt w:val="lowerRoman"/>
      <w:start w:val="5"/>
    </w:lvl>
  </w:abstractNum>
  <w:abstractNum w:abstractNumId="34">
    <w:nsid w:val="741226BB"/>
    <w:multiLevelType w:val="hybridMultilevel"/>
    <w:lvl w:ilvl="0">
      <w:lvlJc w:val="left"/>
      <w:lvlText w:val="%1"/>
      <w:numFmt w:val="lowerRoman"/>
      <w:start w:val="1"/>
    </w:lvl>
    <w:lvl w:ilvl="1">
      <w:lvlJc w:val="left"/>
      <w:lvlText w:val="(%2)"/>
      <w:numFmt w:val="lowerRoman"/>
      <w:start w:val="1"/>
    </w:lvl>
  </w:abstractNum>
  <w:abstractNum w:abstractNumId="35">
    <w:nsid w:val="D34B6A8"/>
    <w:multiLevelType w:val="hybridMultilevel"/>
    <w:lvl w:ilvl="0">
      <w:lvlJc w:val="left"/>
      <w:lvlText w:val="(%1)"/>
      <w:numFmt w:val="lowerRoman"/>
      <w:start w:val="5"/>
    </w:lvl>
    <w:lvl w:ilvl="1">
      <w:lvlJc w:val="left"/>
      <w:lvlText w:val="(%2)"/>
      <w:numFmt w:val="lowerRoman"/>
      <w:start w:val="2"/>
    </w:lvl>
  </w:abstractNum>
  <w:abstractNum w:abstractNumId="36">
    <w:nsid w:val="10233C99"/>
    <w:multiLevelType w:val="hybridMultilevel"/>
    <w:lvl w:ilvl="0">
      <w:lvlJc w:val="left"/>
      <w:lvlText w:val="(%1)"/>
      <w:numFmt w:val="lowerRoman"/>
      <w:start w:val="5"/>
    </w:lvl>
  </w:abstractNum>
  <w:abstractNum w:abstractNumId="37">
    <w:nsid w:val="3F6AB60F"/>
    <w:multiLevelType w:val="hybridMultilevel"/>
    <w:lvl w:ilvl="0">
      <w:lvlJc w:val="left"/>
      <w:lvlText w:val="(%1)"/>
      <w:numFmt w:val="lowerRoman"/>
      <w:start w:val="1"/>
    </w:lvl>
  </w:abstractNum>
  <w:abstractNum w:abstractNumId="38">
    <w:nsid w:val="61574095"/>
    <w:multiLevelType w:val="hybridMultilevel"/>
    <w:lvl w:ilvl="0">
      <w:lvlJc w:val="left"/>
      <w:lvlText w:val="(%1)"/>
      <w:numFmt w:val="lowerLetter"/>
      <w:start w:val="1"/>
    </w:lvl>
  </w:abstractNum>
  <w:abstractNum w:abstractNumId="39">
    <w:nsid w:val="7E0C57B1"/>
    <w:multiLevelType w:val="hybridMultilevel"/>
    <w:lvl w:ilvl="0">
      <w:lvlJc w:val="left"/>
      <w:lvlText w:val="(%1)"/>
      <w:numFmt w:val="upperLetter"/>
      <w:start w:val="3"/>
    </w:lvl>
  </w:abstractNum>
  <w:abstractNum w:abstractNumId="40">
    <w:nsid w:val="77AE35EB"/>
    <w:multiLevelType w:val="hybridMultilevel"/>
    <w:lvl w:ilvl="0">
      <w:lvlJc w:val="left"/>
      <w:lvlText w:val="(%1)"/>
      <w:numFmt w:val="lowerRoman"/>
      <w:start w:val="1"/>
    </w:lvl>
  </w:abstractNum>
  <w:abstractNum w:abstractNumId="41">
    <w:nsid w:val="579BE4F1"/>
    <w:multiLevelType w:val="hybridMultilevel"/>
    <w:lvl w:ilvl="0">
      <w:lvlJc w:val="left"/>
      <w:lvlText w:val="(%1)"/>
      <w:numFmt w:val="lowerLetter"/>
      <w:start w:val="2"/>
    </w:lvl>
  </w:abstractNum>
  <w:abstractNum w:abstractNumId="42">
    <w:nsid w:val="310C50B3"/>
    <w:multiLevelType w:val="hybridMultilevel"/>
    <w:lvl w:ilvl="0">
      <w:lvlJc w:val="left"/>
      <w:lvlText w:val="(%1)"/>
      <w:numFmt w:val="lowerLetter"/>
      <w:start w:val="3"/>
    </w:lvl>
  </w:abstractNum>
  <w:abstractNum w:abstractNumId="43">
    <w:nsid w:val="5FF87E05"/>
    <w:multiLevelType w:val="hybridMultilevel"/>
    <w:lvl w:ilvl="0">
      <w:lvlJc w:val="left"/>
      <w:lvlText w:val="(%1)"/>
      <w:numFmt w:val="lowerLetter"/>
      <w:start w:val="2"/>
    </w:lvl>
  </w:abstractNum>
  <w:abstractNum w:abstractNumId="44">
    <w:nsid w:val="2F305DEF"/>
    <w:multiLevelType w:val="hybridMultilevel"/>
    <w:lvl w:ilvl="0">
      <w:lvlJc w:val="left"/>
      <w:lvlText w:val="(%1)"/>
      <w:numFmt w:val="lowerLetter"/>
      <w:start w:val="7"/>
    </w:lvl>
  </w:abstractNum>
  <w:abstractNum w:abstractNumId="45">
    <w:nsid w:val="25A70BF7"/>
    <w:multiLevelType w:val="hybridMultilevel"/>
    <w:lvl w:ilvl="0">
      <w:lvlJc w:val="left"/>
      <w:lvlText w:val="(%1)"/>
      <w:numFmt w:val="lowerLetter"/>
      <w:start w:val="1"/>
    </w:lvl>
  </w:abstractNum>
  <w:abstractNum w:abstractNumId="46">
    <w:nsid w:val="1DBABF00"/>
    <w:multiLevelType w:val="hybridMultilevel"/>
    <w:lvl w:ilvl="0">
      <w:lvlJc w:val="left"/>
      <w:lvlText w:val="(%1)"/>
      <w:numFmt w:val="lowerLetter"/>
      <w:start w:val="2"/>
    </w:lvl>
  </w:abstractNum>
  <w:abstractNum w:abstractNumId="47">
    <w:nsid w:val="4AD084E9"/>
    <w:multiLevelType w:val="hybridMultilevel"/>
    <w:lvl w:ilvl="0">
      <w:lvlJc w:val="left"/>
      <w:lvlText w:val="(%1)"/>
      <w:numFmt w:val="lowerLetter"/>
      <w:start w:val="2"/>
    </w:lvl>
  </w:abstractNum>
  <w:abstractNum w:abstractNumId="48">
    <w:nsid w:val="1F48EAA1"/>
    <w:multiLevelType w:val="hybridMultilevel"/>
    <w:lvl w:ilvl="0">
      <w:lvlJc w:val="left"/>
      <w:lvlText w:val="(%1)"/>
      <w:numFmt w:val="lowerLetter"/>
      <w:start w:val="17"/>
    </w:lvl>
  </w:abstractNum>
  <w:abstractNum w:abstractNumId="49">
    <w:nsid w:val="1381823A"/>
    <w:multiLevelType w:val="hybridMultilevel"/>
    <w:lvl w:ilvl="0">
      <w:lvlJc w:val="left"/>
      <w:lvlText w:val="(%1)"/>
      <w:numFmt w:val="lowerLetter"/>
      <w:start w:val="20"/>
    </w:lvl>
  </w:abstractNum>
  <w:abstractNum w:abstractNumId="50">
    <w:nsid w:val="5DB70AE5"/>
    <w:multiLevelType w:val="hybridMultilevel"/>
    <w:lvl w:ilvl="0">
      <w:lvlJc w:val="left"/>
      <w:lvlText w:val="%1"/>
      <w:numFmt w:val="lowerLetter"/>
      <w:start w:val="1"/>
    </w:lvl>
    <w:lvl w:ilvl="1">
      <w:lvlJc w:val="left"/>
      <w:lvlText w:val="(%2)"/>
      <w:numFmt w:val="lowerLetter"/>
      <w:start w:val="27"/>
    </w:lvl>
  </w:abstractNum>
  <w:abstractNum w:abstractNumId="51">
    <w:nsid w:val="100F8FCA"/>
    <w:multiLevelType w:val="hybridMultilevel"/>
    <w:lvl w:ilvl="0">
      <w:lvlJc w:val="left"/>
      <w:lvlText w:val="(%1)"/>
      <w:numFmt w:val="lowerLetter"/>
      <w:start w:val="25"/>
    </w:lvl>
    <w:lvl w:ilvl="1">
      <w:lvlJc w:val="left"/>
      <w:lvlText w:val="%2"/>
      <w:numFmt w:val="lowerLetter"/>
      <w:start w:val="1"/>
    </w:lvl>
  </w:abstractNum>
  <w:abstractNum w:abstractNumId="52">
    <w:nsid w:val="6590700B"/>
    <w:multiLevelType w:val="hybridMultilevel"/>
    <w:lvl w:ilvl="0">
      <w:lvlJc w:val="left"/>
      <w:lvlText w:val="(%1)"/>
      <w:numFmt w:val="lowerLetter"/>
      <w:start w:val="2"/>
    </w:lvl>
  </w:abstractNum>
  <w:abstractNum w:abstractNumId="53">
    <w:nsid w:val="15014ACB"/>
    <w:multiLevelType w:val="hybridMultilevel"/>
    <w:lvl w:ilvl="0">
      <w:lvlJc w:val="left"/>
      <w:lvlText w:val="(%1)"/>
      <w:numFmt w:val="lowerLetter"/>
      <w:start w:val="7"/>
    </w:lvl>
  </w:abstractNum>
  <w:abstractNum w:abstractNumId="54">
    <w:nsid w:val="5F5E7FD0"/>
    <w:multiLevelType w:val="hybridMultilevel"/>
    <w:lvl w:ilvl="0">
      <w:lvlJc w:val="left"/>
      <w:lvlText w:val="(%1)"/>
      <w:numFmt w:val="lowerRoman"/>
      <w:start w:val="1"/>
    </w:lvl>
  </w:abstractNum>
  <w:abstractNum w:abstractNumId="55">
    <w:nsid w:val="98A3148"/>
    <w:multiLevelType w:val="hybridMultilevel"/>
    <w:lvl w:ilvl="0">
      <w:lvlJc w:val="left"/>
      <w:lvlText w:val="(%1)"/>
      <w:numFmt w:val="lowerLetter"/>
      <w:start w:val="11"/>
    </w:lvl>
  </w:abstractNum>
  <w:abstractNum w:abstractNumId="56">
    <w:nsid w:val="799D0247"/>
    <w:multiLevelType w:val="hybridMultilevel"/>
    <w:lvl w:ilvl="0">
      <w:lvlJc w:val="left"/>
      <w:lvlText w:val="(%1)"/>
      <w:numFmt w:val="lowerLetter"/>
      <w:start w:val="1"/>
    </w:lvl>
  </w:abstractNum>
  <w:abstractNum w:abstractNumId="57">
    <w:nsid w:val="6B94764"/>
    <w:multiLevelType w:val="hybridMultilevel"/>
    <w:lvl w:ilvl="0">
      <w:lvlJc w:val="left"/>
      <w:lvlText w:val="(%1)"/>
      <w:numFmt w:val="lowerRoman"/>
      <w:start w:val="1"/>
    </w:lvl>
  </w:abstractNum>
  <w:abstractNum w:abstractNumId="58">
    <w:nsid w:val="42C296BD"/>
    <w:multiLevelType w:val="hybridMultilevel"/>
    <w:lvl w:ilvl="0">
      <w:lvlJc w:val="left"/>
      <w:lvlText w:val="(%1)"/>
      <w:numFmt w:val="decimal"/>
      <w:start w:val="1"/>
    </w:lvl>
  </w:abstractNum>
  <w:abstractNum w:abstractNumId="59">
    <w:nsid w:val="168E121F"/>
    <w:multiLevelType w:val="hybridMultilevel"/>
    <w:lvl w:ilvl="0">
      <w:lvlJc w:val="left"/>
      <w:lvlText w:val="(%1)"/>
      <w:numFmt w:val="lowerLetter"/>
      <w:start w:val="25"/>
    </w:lvl>
  </w:abstractNum>
  <w:abstractNum w:abstractNumId="60">
    <w:nsid w:val="1EBA5D23"/>
    <w:multiLevelType w:val="hybridMultilevel"/>
    <w:lvl w:ilvl="0">
      <w:lvlJc w:val="left"/>
      <w:lvlText w:val="(%1)"/>
      <w:numFmt w:val="lowerRoman"/>
      <w:start w:val="1"/>
    </w:lvl>
  </w:abstractNum>
  <w:abstractNum w:abstractNumId="61">
    <w:nsid w:val="661E3F1E"/>
    <w:multiLevelType w:val="hybridMultilevel"/>
    <w:lvl w:ilvl="0">
      <w:lvlJc w:val="left"/>
      <w:lvlText w:val="(%1)"/>
      <w:numFmt w:val="lowerLetter"/>
      <w:start w:val="35"/>
    </w:lvl>
    <w:lvl w:ilvl="1">
      <w:lvlJc w:val="left"/>
      <w:lvlText w:val="(%2)"/>
      <w:numFmt w:val="lowerLetter"/>
      <w:start w:val="12"/>
    </w:lvl>
  </w:abstractNum>
  <w:abstractNum w:abstractNumId="62">
    <w:nsid w:val="5DC79EA8"/>
    <w:multiLevelType w:val="hybridMultilevel"/>
    <w:lvl w:ilvl="0">
      <w:lvlJc w:val="left"/>
      <w:lvlText w:val="(%1)"/>
      <w:numFmt w:val="lowerRoman"/>
      <w:start w:val="1"/>
    </w:lvl>
  </w:abstractNum>
  <w:abstractNum w:abstractNumId="63">
    <w:nsid w:val="540A471C"/>
    <w:multiLevelType w:val="hybridMultilevel"/>
    <w:lvl w:ilvl="0">
      <w:lvlJc w:val="left"/>
      <w:lvlText w:val="(%1)"/>
      <w:numFmt w:val="lowerRoman"/>
      <w:start w:val="1"/>
    </w:lvl>
  </w:abstractNum>
  <w:abstractNum w:abstractNumId="64">
    <w:nsid w:val="7BD3EE7B"/>
    <w:multiLevelType w:val="hybridMultilevel"/>
    <w:lvl w:ilvl="0">
      <w:lvlJc w:val="left"/>
      <w:lvlText w:val="(%1)"/>
      <w:numFmt w:val="lowerRoman"/>
      <w:start w:val="3"/>
    </w:lvl>
  </w:abstractNum>
  <w:abstractNum w:abstractNumId="65">
    <w:nsid w:val="51D9C564"/>
    <w:multiLevelType w:val="hybridMultilevel"/>
    <w:lvl w:ilvl="0">
      <w:lvlJc w:val="left"/>
      <w:lvlText w:val="(%1)"/>
      <w:numFmt w:val="lowerLetter"/>
      <w:start w:val="4"/>
    </w:lvl>
  </w:abstractNum>
  <w:abstractNum w:abstractNumId="66">
    <w:nsid w:val="613EFDC5"/>
    <w:multiLevelType w:val="hybridMultilevel"/>
    <w:lvl w:ilvl="0">
      <w:lvlJc w:val="left"/>
      <w:lvlText w:val="(%1)"/>
      <w:numFmt w:val="lowerLetter"/>
      <w:start w:val="2"/>
    </w:lvl>
  </w:abstractNum>
  <w:abstractNum w:abstractNumId="67">
    <w:nsid w:val="BF72B14"/>
    <w:multiLevelType w:val="hybridMultilevel"/>
    <w:lvl w:ilvl="0">
      <w:lvlJc w:val="left"/>
      <w:lvlText w:val="(%1)"/>
      <w:numFmt w:val="lowerRoman"/>
      <w:start w:val="9"/>
    </w:lvl>
  </w:abstractNum>
  <w:abstractNum w:abstractNumId="68">
    <w:nsid w:val="11447B73"/>
    <w:multiLevelType w:val="hybridMultilevel"/>
    <w:lvl w:ilvl="0">
      <w:lvlJc w:val="left"/>
      <w:lvlText w:val="(%1)"/>
      <w:numFmt w:val="lowerLetter"/>
      <w:start w:val="2"/>
    </w:lvl>
  </w:abstractNum>
  <w:abstractNum w:abstractNumId="69">
    <w:nsid w:val="42963E5A"/>
    <w:multiLevelType w:val="hybridMultilevel"/>
    <w:lvl w:ilvl="0">
      <w:lvlJc w:val="left"/>
      <w:lvlText w:val="(%1)"/>
      <w:numFmt w:val="lowerRoman"/>
      <w:start w:val="1"/>
    </w:lvl>
  </w:abstractNum>
  <w:abstractNum w:abstractNumId="70">
    <w:nsid w:val="A0382C5"/>
    <w:multiLevelType w:val="hybridMultilevel"/>
    <w:lvl w:ilvl="0">
      <w:lvlJc w:val="left"/>
      <w:lvlText w:val="(%1)"/>
      <w:numFmt w:val="lowerRoman"/>
      <w:start w:val="3"/>
    </w:lvl>
  </w:abstractNum>
  <w:abstractNum w:abstractNumId="71">
    <w:nsid w:val="8F2B15E"/>
    <w:multiLevelType w:val="hybridMultilevel"/>
    <w:lvl w:ilvl="0">
      <w:lvlJc w:val="left"/>
      <w:lvlText w:val="(%1)"/>
      <w:numFmt w:val="lowerRoman"/>
      <w:start w:val="1"/>
    </w:lvl>
  </w:abstractNum>
  <w:abstractNum w:abstractNumId="72">
    <w:nsid w:val="1A32234B"/>
    <w:multiLevelType w:val="hybridMultilevel"/>
    <w:lvl w:ilvl="0">
      <w:lvlJc w:val="left"/>
      <w:lvlText w:val="(%1)"/>
      <w:numFmt w:val="lowerRoman"/>
      <w:start w:val="5"/>
    </w:lvl>
  </w:abstractNum>
  <w:abstractNum w:abstractNumId="73">
    <w:nsid w:val="3B0FD379"/>
    <w:multiLevelType w:val="hybridMultilevel"/>
    <w:lvl w:ilvl="0">
      <w:lvlJc w:val="left"/>
      <w:lvlText w:val="(%1)"/>
      <w:numFmt w:val="upperLetter"/>
      <w:start w:val="2"/>
    </w:lvl>
  </w:abstractNum>
  <w:abstractNum w:abstractNumId="74">
    <w:nsid w:val="68EB2F63"/>
    <w:multiLevelType w:val="hybridMultilevel"/>
    <w:lvl w:ilvl="0">
      <w:lvlJc w:val="left"/>
      <w:lvlText w:val="(%1)"/>
      <w:numFmt w:val="lowerLetter"/>
      <w:start w:val="5"/>
    </w:lvl>
  </w:abstractNum>
  <w:abstractNum w:abstractNumId="75">
    <w:nsid w:val="4962813B"/>
    <w:multiLevelType w:val="hybridMultilevel"/>
    <w:lvl w:ilvl="0">
      <w:lvlJc w:val="left"/>
      <w:lvlText w:val="(%1)"/>
      <w:numFmt w:val="lowerLetter"/>
      <w:start w:val="35"/>
    </w:lvl>
    <w:lvl w:ilvl="1">
      <w:lvlJc w:val="left"/>
      <w:lvlText w:val="(%2)"/>
      <w:numFmt w:val="lowerLetter"/>
      <w:start w:val="8"/>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3"/>
    </w:lvl>
  </w:abstractNum>
  <w:abstractNum w:abstractNumId="78">
    <w:nsid w:val="14330624"/>
    <w:multiLevelType w:val="hybridMultilevel"/>
    <w:lvl w:ilvl="0">
      <w:lvlJc w:val="left"/>
      <w:lvlText w:val="(%1)"/>
      <w:numFmt w:val="decimal"/>
      <w:start w:val="2"/>
    </w:lvl>
  </w:abstractNum>
  <w:abstractNum w:abstractNumId="79">
    <w:nsid w:val="7FFFCA11"/>
    <w:multiLevelType w:val="hybridMultilevel"/>
    <w:lvl w:ilvl="0">
      <w:lvlJc w:val="left"/>
      <w:lvlText w:val="(%1)"/>
      <w:numFmt w:val="lowerRoman"/>
      <w:start w:val="11"/>
    </w:lvl>
  </w:abstractNum>
  <w:abstractNum w:abstractNumId="80">
    <w:nsid w:val="1A27709E"/>
    <w:multiLevelType w:val="hybridMultilevel"/>
    <w:lvl w:ilvl="0">
      <w:lvlJc w:val="left"/>
      <w:lvlText w:val="(%1)"/>
      <w:numFmt w:val="lowerLetter"/>
      <w:start w:val="2"/>
    </w:lvl>
  </w:abstractNum>
  <w:abstractNum w:abstractNumId="81">
    <w:nsid w:val="71EA1109"/>
    <w:multiLevelType w:val="hybridMultilevel"/>
    <w:lvl w:ilvl="0">
      <w:lvlJc w:val="left"/>
      <w:lvlText w:val="(%1)"/>
      <w:numFmt w:val="lowerRoman"/>
      <w:start w:val="4"/>
    </w:lvl>
  </w:abstractNum>
  <w:abstractNum w:abstractNumId="82">
    <w:nsid w:val="100F59DC"/>
    <w:multiLevelType w:val="hybridMultilevel"/>
    <w:lvl w:ilvl="0">
      <w:lvlJc w:val="left"/>
      <w:lvlText w:val="(%1)"/>
      <w:numFmt w:val="lowerLetter"/>
      <w:start w:val="3"/>
    </w:lvl>
  </w:abstractNum>
  <w:abstractNum w:abstractNumId="83">
    <w:nsid w:val="7FB7E0AA"/>
    <w:multiLevelType w:val="hybridMultilevel"/>
    <w:lvl w:ilvl="0">
      <w:lvlJc w:val="left"/>
      <w:lvlText w:val="(%1)"/>
      <w:numFmt w:val="lowerLetter"/>
      <w:start w:val="2"/>
    </w:lvl>
  </w:abstractNum>
  <w:abstractNum w:abstractNumId="84">
    <w:nsid w:val="6EB5BD4"/>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2026-04-21T15:58:42Z</dcterms:created>
  <dcterms:modified xsi:type="dcterms:W3CDTF">2026-04-21T15:58:42Z</dcterms:modified>
</cp:coreProperties>
</file>