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998d1_8k.htm"/>
      <w:bookmarkStart w:id="1" w:name="kstm261199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4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April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VISKASE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2420"/>
        <w:gridCol w:w="60"/>
        <w:gridCol w:w="2210"/>
        <w:gridCol w:w="6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5_edei--EntityFileNumber_c20260414"/>
            <w:bookmarkEnd w:id="6"/>
            <w:r>
              <w:rPr>
                <w:rFonts w:ascii="Times New Roman;Times;Serif" w:hAnsi="Times New Roman;Times;Serif"/>
                <w:b/>
                <w:i w:val="false"/>
                <w:caps w:val="false"/>
                <w:smallCaps w:val="false"/>
                <w:sz w:val="20"/>
              </w:rPr>
              <w:t>000-12957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22-2372868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333 East Butterfield Road, </w:t>
            </w:r>
            <w:bookmarkStart w:id="9" w:name="xdx_90C_edei--EntityAddressAddressLine2_"/>
            <w:bookmarkEnd w:id="9"/>
            <w:r>
              <w:rPr>
                <w:rFonts w:ascii="Times New Roman;Times;Serif" w:hAnsi="Times New Roman;Times;Serif"/>
                <w:b/>
                <w:i w:val="false"/>
                <w:caps w:val="false"/>
                <w:smallCaps w:val="false"/>
                <w:sz w:val="20"/>
              </w:rPr>
              <w:t>Suite 400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Lombard, </w:t>
            </w:r>
            <w:bookmarkStart w:id="11" w:name="xdx_907_edei--EntityAddressStateOrProvin"/>
            <w:bookmarkEnd w:id="11"/>
            <w:r>
              <w:rPr>
                <w:rFonts w:ascii="Times New Roman;Times;Serif" w:hAnsi="Times New Roman;Times;Serif"/>
                <w:b/>
                <w:i w:val="false"/>
                <w:caps w:val="false"/>
                <w:smallCaps w:val="false"/>
                <w:sz w:val="20"/>
              </w:rPr>
              <w:t>Illinois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60148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414__20"/>
      <w:bookmarkEnd w:id="13"/>
      <w:r>
        <w:rPr>
          <w:rFonts w:ascii="Times New Roman;Times;Serif" w:hAnsi="Times New Roman;Times;Serif"/>
          <w:b/>
          <w:i w:val="false"/>
          <w:caps w:val="false"/>
          <w:smallCaps w:val="false"/>
          <w:sz w:val="20"/>
        </w:rPr>
        <w:t xml:space="preserve">630) </w:t>
      </w:r>
      <w:bookmarkStart w:id="14" w:name="xdx_90C_edei--LocalPhoneNumber_c20260414"/>
      <w:bookmarkEnd w:id="14"/>
      <w:r>
        <w:rPr>
          <w:rFonts w:ascii="Times New Roman;Times;Serif" w:hAnsi="Times New Roman;Times;Serif"/>
          <w:b/>
          <w:i w:val="false"/>
          <w:caps w:val="false"/>
          <w:smallCaps w:val="false"/>
          <w:sz w:val="20"/>
        </w:rPr>
        <w:t>874-0700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8_edei--SolicitingMaterial_c202604"/>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28" w:type="dxa"/>
          <w:right w:w="0" w:type="dxa"/>
        </w:tblCellMar>
      </w:tblPr>
      <w:tblGrid>
        <w:gridCol w:w="1535"/>
        <w:gridCol w:w="60"/>
        <w:gridCol w:w="1580"/>
        <w:gridCol w:w="60"/>
        <w:gridCol w:w="28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C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shd w:fill="FFFFFF" w:val="clear"/>
        <w:tblLayout w:type="fixed"/>
        <w:tblCellMar>
          <w:top w:w="0" w:type="dxa"/>
          <w:left w:w="0" w:type="dxa"/>
          <w:bottom w:w="0" w:type="dxa"/>
          <w:right w:w="0" w:type="dxa"/>
        </w:tblCellMar>
      </w:tblPr>
      <w:tblGrid>
        <w:gridCol w:w="1100"/>
        <w:gridCol w:w="3995"/>
      </w:tblGrid>
      <w:tr>
        <w:trPr/>
        <w:tc>
          <w:tcPr>
            <w:tcW w:w="1100" w:type="dxa"/>
            <w:tcBorders/>
            <w:shd w:fill="FFFFFF" w:val="clear"/>
            <w:vAlign w:val="center"/>
          </w:tcPr>
          <w:p>
            <w:pPr>
              <w:pStyle w:val="TableContents"/>
              <w:bidi w:val="0"/>
              <w:spacing w:before="0" w:after="283"/>
              <w:jc w:val="left"/>
              <w:rPr>
                <w:rFonts w:ascii="revert-layer;serif" w:hAnsi="revert-layer;serif"/>
                <w:b/>
                <w:i w:val="false"/>
                <w:caps w:val="false"/>
                <w:smallCaps w:val="false"/>
                <w:color w:val="212529"/>
                <w:sz w:val="20"/>
              </w:rPr>
            </w:pPr>
            <w:r>
              <w:rPr>
                <w:rFonts w:ascii="revert-layer;serif" w:hAnsi="revert-layer;serif"/>
                <w:b/>
                <w:i w:val="false"/>
                <w:caps w:val="false"/>
                <w:smallCaps w:val="false"/>
                <w:color w:val="212529"/>
                <w:sz w:val="20"/>
              </w:rPr>
              <w:t>Item 4.01</w:t>
            </w:r>
          </w:p>
        </w:tc>
        <w:tc>
          <w:tcPr>
            <w:tcW w:w="3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tc>
      </w:tr>
    </w:tbl>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As previously disclosed, on March 26, 2026, Viskase Holdings, Inc. (the “Company”), formerly known as Enzon Pharmaceuticals, Inc. (“Enzon”), consummated a merger (the “Merger”) pursuant to the Agreement and Plan of Merger, dated as of June 20, 2025, by and among the Company, EPSC Acquisition Corp., and Viskase Companies, Inc. (“Viskase”). Promptly following the closing of the Merger, the Company filed a Certificate of Amendment to its Amended and Restated Certificate of Incorporation with the Secretary of State of Delaware to change its name to “Viskase Holdings, Inc.”</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April 14, 2026, the Audit Committee of the Company appointed Grant Thornton LLP (“Grant Thornton”) as the Company’s independent registered public accounting firm to audit the Company’s consolidated financial statements for the fiscal year ending December 31, 2026. The Company’s Board of Directors unanimously ratified the appointed of Grant Thornton by the Company’s Audit Committee. Grant Thornton’s engagement is subject to satisfactory completion of client acceptance procedures. Grant Thornton served as the independent registered public accounting firm of Viskase prior to the Merger. Accordingly, EisnerAmper LLP (“EisnerAmper”), Enzon’s independent registered public accounting firm prior to the Merger, was informed on April 15, 2026, that it was dismissed as the Company’s independent registered public accounting firm.</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audit report of EisnerAmper on the Company’s financial statements for the fiscal years ending December 31, 2025 and December 31, 2024, did not contain an adverse opinion or a disclaimer of opinion, and was not qualified or modified as to uncertainties, audit scope or accounting principles.</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During the period from January 1, 2025 through December 31, 2025 and the subsequent interim period through April 15, 2026, there were no (i) disagreements (as defined in Item 304(a)(1)(iv) of Regulation S-K and the related instructions) between the Company and EisnerAmper on any matter of accounting principles or practices, financial disclosure or auditing scope or procedure, which disagreements, if not resolved to the satisfaction of EisnerAmper, would have caused it to make reference to the subject matter of the disagreements in its reports on the Company’s financial statements for such year; or (ii) “reportable events” (as defined in Item 304(a)(1)(v) of Regulation S-K under the Securities Exchange Act of 1934, as amended).</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Company provided EisnerAmper with a copy of the foregoing disclosures prior to the filing of this Current Report on Form 8-K with the Securities and Exchange Commission (“SEC”) and has requested that EisnerAmper furnish the Company with a letter addressed to the SEC stating whether it agrees with the statements made by the Company set forth above. A copy of EisnerAmper’s letter, dated April 16, 2026, is filed as Exhibit 16.1 to this Current Report on Form 8-K.</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During the Company’s fiscal years ending December 31, 2025 and 2024 and the subsequent interim period through April 15, 2026, neither the Company, nor any party on behalf of the Company, consulted with Grant Thornton with respect to either (i) the application of accounting principles to a specified transaction, either completed or proposed, or the type of the audit opinion that might be rendered with respect to the Company’s consolidated financial statements, and no written report or oral advice was provided to the Company by Grant Thornton that was an important factor considered by Grant Thornton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pStyle w:val="TextBody"/>
        <w:shd w:fill="FFFFFF" w:val="clear"/>
        <w:bidi w:val="0"/>
        <w:spacing w:before="0" w:after="0"/>
        <w:ind w:left="1440" w:right="0" w:hanging="1440"/>
        <w:jc w:val="both"/>
        <w:rPr>
          <w:caps w:val="false"/>
          <w:smallCaps w:val="false"/>
          <w:color w:val="212529"/>
        </w:rPr>
      </w:pPr>
      <w:r>
        <w:rPr>
          <w:caps w:val="false"/>
          <w:smallCaps w:val="false"/>
          <w:color w:val="212529"/>
        </w:rPr>
        <w:t> </w:t>
      </w:r>
    </w:p>
    <w:tbl>
      <w:tblPr>
        <w:tblW w:w="4060" w:type="dxa"/>
        <w:jc w:val="left"/>
        <w:tblInd w:w="0" w:type="dxa"/>
        <w:shd w:fill="FFFFFF" w:val="clear"/>
        <w:tblLayout w:type="fixed"/>
        <w:tblCellMar>
          <w:top w:w="0" w:type="dxa"/>
          <w:left w:w="0" w:type="dxa"/>
          <w:bottom w:w="0" w:type="dxa"/>
          <w:right w:w="0" w:type="dxa"/>
        </w:tblCellMar>
      </w:tblPr>
      <w:tblGrid>
        <w:gridCol w:w="1100"/>
        <w:gridCol w:w="2960"/>
      </w:tblGrid>
      <w:tr>
        <w:trPr/>
        <w:tc>
          <w:tcPr>
            <w:tcW w:w="1100" w:type="dxa"/>
            <w:tcBorders/>
            <w:shd w:fill="FFFFFF" w:val="clear"/>
            <w:vAlign w:val="center"/>
          </w:tcPr>
          <w:p>
            <w:pPr>
              <w:pStyle w:val="TableContents"/>
              <w:bidi w:val="0"/>
              <w:spacing w:before="0" w:after="283"/>
              <w:jc w:val="left"/>
              <w:rPr>
                <w:rFonts w:ascii="revert-layer;serif" w:hAnsi="revert-layer;serif"/>
                <w:b/>
                <w:i w:val="false"/>
                <w:caps w:val="false"/>
                <w:smallCaps w:val="false"/>
                <w:color w:val="212529"/>
                <w:sz w:val="20"/>
              </w:rPr>
            </w:pPr>
            <w:r>
              <w:rPr>
                <w:rFonts w:ascii="revert-layer;serif" w:hAnsi="revert-layer;serif"/>
                <w:b/>
                <w:i w:val="false"/>
                <w:caps w:val="false"/>
                <w:smallCaps w:val="false"/>
                <w:color w:val="212529"/>
                <w:sz w:val="20"/>
              </w:rPr>
              <w:t>Item 9.01</w:t>
            </w:r>
          </w:p>
        </w:tc>
        <w:tc>
          <w:tcPr>
            <w:tcW w:w="29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1045" w:type="dxa"/>
        <w:jc w:val="left"/>
        <w:tblInd w:w="0" w:type="dxa"/>
        <w:shd w:fill="FFFFFF" w:val="clear"/>
        <w:tblLayout w:type="fixed"/>
        <w:tblCellMar>
          <w:top w:w="0" w:type="dxa"/>
          <w:left w:w="0" w:type="dxa"/>
          <w:bottom w:w="0" w:type="dxa"/>
          <w:right w:w="0" w:type="dxa"/>
        </w:tblCellMar>
      </w:tblPr>
      <w:tblGrid>
        <w:gridCol w:w="260"/>
        <w:gridCol w:w="78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w:t>
            </w:r>
          </w:p>
        </w:tc>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Exhibits:</w:t>
            </w:r>
          </w:p>
        </w:tc>
      </w:tr>
    </w:tbl>
    <w:p>
      <w:pPr>
        <w:pStyle w:val="TextBody"/>
        <w:shd w:fill="FFFFFF" w:val="clear"/>
        <w:bidi w:val="0"/>
        <w:spacing w:before="0" w:after="0"/>
        <w:ind w:left="700" w:right="0" w:hanging="700"/>
        <w:jc w:val="both"/>
        <w:rPr>
          <w:caps w:val="false"/>
          <w:smallCaps w:val="false"/>
          <w:color w:val="212529"/>
        </w:rPr>
      </w:pPr>
      <w:r>
        <w:rPr>
          <w:caps w:val="false"/>
          <w:smallCaps w:val="false"/>
          <w:color w:val="212529"/>
        </w:rPr>
        <w:t> </w:t>
      </w:r>
    </w:p>
    <w:tbl>
      <w:tblPr>
        <w:tblW w:w="9760" w:type="dxa"/>
        <w:jc w:val="left"/>
        <w:tblInd w:w="0" w:type="dxa"/>
        <w:shd w:fill="FFFFFF" w:val="clear"/>
        <w:tblLayout w:type="fixed"/>
        <w:tblCellMar>
          <w:top w:w="0" w:type="dxa"/>
          <w:left w:w="0" w:type="dxa"/>
          <w:bottom w:w="0" w:type="dxa"/>
          <w:right w:w="0" w:type="dxa"/>
        </w:tblCellMar>
      </w:tblPr>
      <w:tblGrid>
        <w:gridCol w:w="650"/>
        <w:gridCol w:w="9110"/>
      </w:tblGrid>
      <w:tr>
        <w:trPr/>
        <w:tc>
          <w:tcPr>
            <w:tcW w:w="650" w:type="dxa"/>
            <w:tcBorders/>
            <w:shd w:fill="FFFFFF" w:val="clear"/>
            <w:vAlign w:val="center"/>
          </w:tcPr>
          <w:p>
            <w:pPr>
              <w:pStyle w:val="TableContents"/>
              <w:bidi w:val="0"/>
              <w:spacing w:before="0" w:after="283"/>
              <w:jc w:val="both"/>
              <w:rPr>
                <w:color w:val="212529"/>
                <w:sz w:val="20"/>
              </w:rPr>
            </w:pPr>
            <w:r>
              <w:rPr>
                <w:color w:val="212529"/>
                <w:sz w:val="20"/>
              </w:rPr>
              <w:t>Exhibit</w:t>
            </w:r>
          </w:p>
        </w:tc>
        <w:tc>
          <w:tcPr>
            <w:tcW w:w="9110" w:type="dxa"/>
            <w:tcBorders/>
            <w:shd w:fill="FFFFFF" w:val="clear"/>
            <w:vAlign w:val="center"/>
          </w:tcPr>
          <w:p>
            <w:pPr>
              <w:pStyle w:val="TableContents"/>
              <w:bidi w:val="0"/>
              <w:spacing w:before="0" w:after="283"/>
              <w:jc w:val="both"/>
              <w:rPr>
                <w:color w:val="212529"/>
                <w:sz w:val="20"/>
              </w:rPr>
            </w:pPr>
            <w:r>
              <w:rPr>
                <w:color w:val="212529"/>
                <w:sz w:val="20"/>
              </w:rPr>
              <w:t>Description</w:t>
            </w:r>
          </w:p>
        </w:tc>
      </w:tr>
      <w:tr>
        <w:trPr/>
        <w:tc>
          <w:tcPr>
            <w:tcW w:w="650" w:type="dxa"/>
            <w:tcBorders/>
            <w:shd w:fill="FFFFFF" w:val="clear"/>
            <w:vAlign w:val="center"/>
          </w:tcPr>
          <w:p>
            <w:pPr>
              <w:pStyle w:val="TableContents"/>
              <w:bidi w:val="0"/>
              <w:spacing w:before="0" w:after="283"/>
              <w:jc w:val="both"/>
              <w:rPr/>
            </w:pPr>
            <w:hyperlink w:anchor="tm2611998d1_ex16-1.htm">
              <w:r>
                <w:rPr>
                  <w:rStyle w:val="InternetLink"/>
                  <w:sz w:val="20"/>
                </w:rPr>
                <w:t>16.1</w:t>
              </w:r>
            </w:hyperlink>
          </w:p>
        </w:tc>
        <w:tc>
          <w:tcPr>
            <w:tcW w:w="9110" w:type="dxa"/>
            <w:tcBorders/>
            <w:shd w:fill="FFFFFF" w:val="clear"/>
            <w:vAlign w:val="center"/>
          </w:tcPr>
          <w:p>
            <w:pPr>
              <w:pStyle w:val="TableContents"/>
              <w:bidi w:val="0"/>
              <w:spacing w:before="0" w:after="283"/>
              <w:jc w:val="both"/>
              <w:rPr/>
            </w:pPr>
            <w:hyperlink w:anchor="tm2611998d1_ex16-1.htm">
              <w:r>
                <w:rPr>
                  <w:rStyle w:val="InternetLink"/>
                  <w:sz w:val="20"/>
                </w:rPr>
                <w:t>Letter from EisnerAmper LLP addressed to the Securities and Exchange Commission, dated as of April 16, 2026.</w:t>
              </w:r>
            </w:hyperlink>
          </w:p>
        </w:tc>
      </w:tr>
      <w:tr>
        <w:trPr/>
        <w:tc>
          <w:tcPr>
            <w:tcW w:w="650" w:type="dxa"/>
            <w:tcBorders/>
            <w:shd w:fill="FFFFFF" w:val="clear"/>
            <w:vAlign w:val="center"/>
          </w:tcPr>
          <w:p>
            <w:pPr>
              <w:pStyle w:val="TableContents"/>
              <w:bidi w:val="0"/>
              <w:spacing w:before="0" w:after="283"/>
              <w:jc w:val="both"/>
              <w:rPr>
                <w:color w:val="212529"/>
                <w:sz w:val="20"/>
              </w:rPr>
            </w:pPr>
            <w:r>
              <w:rPr>
                <w:color w:val="212529"/>
                <w:sz w:val="20"/>
              </w:rPr>
              <w:t>104</w:t>
            </w:r>
          </w:p>
        </w:tc>
        <w:tc>
          <w:tcPr>
            <w:tcW w:w="9110" w:type="dxa"/>
            <w:tcBorders/>
            <w:shd w:fill="FFFFFF" w:val="clear"/>
            <w:vAlign w:val="center"/>
          </w:tcPr>
          <w:p>
            <w:pPr>
              <w:pStyle w:val="TableContents"/>
              <w:bidi w:val="0"/>
              <w:spacing w:before="0" w:after="283"/>
              <w:jc w:val="both"/>
              <w:rPr>
                <w:color w:val="212529"/>
                <w:sz w:val="20"/>
              </w:rPr>
            </w:pPr>
            <w:r>
              <w:rPr>
                <w:color w:val="212529"/>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1700"/>
        <w:gridCol w:w="590"/>
        <w:gridCol w:w="4205"/>
      </w:tblGrid>
      <w:tr>
        <w:trPr/>
        <w:tc>
          <w:tcPr>
            <w:tcW w:w="170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b/>
                <w:sz w:val="20"/>
              </w:rPr>
            </w:pPr>
            <w:r>
              <w:rPr>
                <w:b/>
                <w:sz w:val="20"/>
              </w:rPr>
              <w:t>VISKASE HOLDINGS, INC.</w:t>
            </w:r>
          </w:p>
        </w:tc>
      </w:tr>
      <w:tr>
        <w:trPr/>
        <w:tc>
          <w:tcPr>
            <w:tcW w:w="170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sz w:val="20"/>
              </w:rPr>
            </w:pPr>
            <w:r>
              <w:rPr>
                <w:sz w:val="20"/>
              </w:rPr>
              <w:t>(Registrant)</w:t>
            </w:r>
          </w:p>
        </w:tc>
      </w:tr>
      <w:tr>
        <w:trPr/>
        <w:tc>
          <w:tcPr>
            <w:tcW w:w="1700" w:type="dxa"/>
            <w:tcBorders/>
            <w:vAlign w:val="center"/>
          </w:tcPr>
          <w:p>
            <w:pPr>
              <w:pStyle w:val="TableContents"/>
              <w:bidi w:val="0"/>
              <w:spacing w:before="0" w:after="283"/>
              <w:jc w:val="left"/>
              <w:rPr>
                <w:sz w:val="20"/>
              </w:rPr>
            </w:pPr>
            <w:r>
              <w:rPr>
                <w:sz w:val="20"/>
              </w:rPr>
              <w:t>Date: April 16, 2026</w:t>
            </w:r>
          </w:p>
        </w:tc>
        <w:tc>
          <w:tcPr>
            <w:tcW w:w="59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42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Joseph D. King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4205" w:type="dxa"/>
            <w:tcBorders/>
            <w:vAlign w:val="center"/>
          </w:tcPr>
          <w:p>
            <w:pPr>
              <w:pStyle w:val="TableContents"/>
              <w:bidi w:val="0"/>
              <w:spacing w:before="0" w:after="283"/>
              <w:jc w:val="left"/>
              <w:rPr>
                <w:sz w:val="20"/>
              </w:rPr>
            </w:pPr>
            <w:r>
              <w:rPr>
                <w:sz w:val="20"/>
              </w:rPr>
              <w:t>Joseph D. King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205" w:type="dxa"/>
            <w:tcBorders/>
            <w:vAlign w:val="center"/>
          </w:tcPr>
          <w:p>
            <w:pPr>
              <w:pStyle w:val="TableContents"/>
              <w:bidi w:val="0"/>
              <w:spacing w:before="0" w:after="283"/>
              <w:jc w:val="left"/>
              <w:rPr>
                <w:sz w:val="20"/>
              </w:rPr>
            </w:pPr>
            <w:r>
              <w:rPr>
                <w:sz w:val="20"/>
              </w:rPr>
              <w:t>Senior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0" w:name="tm2611998d1_ex16-1.htm"/>
      <w:bookmarkStart w:id="21" w:name="kstm2611998d1_ex161"/>
      <w:bookmarkEnd w:id="20"/>
      <w:bookmarkEnd w:id="21"/>
      <w:r>
        <w:rPr>
          <w:b/>
        </w:rPr>
        <w:t>Exhibit 16.1</w:t>
      </w:r>
      <w:r>
        <w:br w:type="page"/>
      </w:r>
    </w:p>
    <w:p>
      <w:pPr>
        <w:pStyle w:val="TextBody"/>
        <w:bidi w:val="0"/>
        <w:spacing w:before="0" w:after="283"/>
        <w:jc w:val="left"/>
        <w:rPr/>
      </w:pPr>
      <w:r>
        <w:rPr/>
        <w:t> </w:t>
      </w:r>
    </w:p>
    <w:p>
      <w:pPr>
        <w:pStyle w:val="TextBody"/>
        <w:bidi w:val="0"/>
        <w:spacing w:before="0" w:after="283"/>
        <w:jc w:val="left"/>
        <w:rPr/>
      </w:pPr>
      <w:r>
        <w:rPr/>
        <w:t>April 16,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Securities and Exchange Commission</w:t>
      </w:r>
    </w:p>
    <w:p>
      <w:pPr>
        <w:pStyle w:val="TextBody"/>
        <w:bidi w:val="0"/>
        <w:spacing w:before="0" w:after="283"/>
        <w:jc w:val="left"/>
        <w:rPr/>
      </w:pPr>
      <w:r>
        <w:rPr/>
        <w:t>100 F Street, N.E.</w:t>
      </w:r>
    </w:p>
    <w:p>
      <w:pPr>
        <w:pStyle w:val="TextBody"/>
        <w:bidi w:val="0"/>
        <w:spacing w:before="0" w:after="283"/>
        <w:jc w:val="left"/>
        <w:rPr/>
      </w:pPr>
      <w:r>
        <w:rPr/>
        <w:t>Washington, DC 20549</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Ladies and Gentlemen:</w:t>
      </w:r>
    </w:p>
    <w:p>
      <w:pPr>
        <w:pStyle w:val="TextBody"/>
        <w:bidi w:val="0"/>
        <w:spacing w:before="0" w:after="283"/>
        <w:jc w:val="left"/>
        <w:rPr/>
      </w:pPr>
      <w:r>
        <w:rPr/>
        <w:t> </w:t>
      </w:r>
    </w:p>
    <w:p>
      <w:pPr>
        <w:pStyle w:val="TextBody"/>
        <w:bidi w:val="0"/>
        <w:jc w:val="both"/>
        <w:rPr/>
      </w:pPr>
      <w:r>
        <w:rPr/>
        <w:t>We have read Item 4.01 of Form 8-K dated April 16, 2026 of Viskase Holdings, Inc. and are in agreement with the statements contained therein as it regards our firm. We have no basis to agree or disagree with other statements of the registrant contained in Item 4.01.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Sincerely,</w:t>
      </w:r>
    </w:p>
    <w:p>
      <w:pPr>
        <w:pStyle w:val="TextBody"/>
        <w:bidi w:val="0"/>
        <w:spacing w:before="0" w:after="283"/>
        <w:jc w:val="left"/>
        <w:rPr/>
      </w:pPr>
      <w:r>
        <w:rPr/>
        <w:t> </w:t>
      </w:r>
    </w:p>
    <w:p>
      <w:pPr>
        <w:pStyle w:val="TextBody"/>
        <w:bidi w:val="0"/>
        <w:spacing w:before="0" w:after="283"/>
        <w:jc w:val="left"/>
        <w:rPr/>
      </w:pPr>
      <w:r>
        <w:rPr/>
        <w:drawing>
          <wp:inline distT="0" distB="0" distL="0" distR="0">
            <wp:extent cx="27241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476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EisnerAmper LLP</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1060</Words>
  <Characters>5815</Characters>
  <CharactersWithSpaces>6875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