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3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31" w:lineRule="exact"/>
        <w:rPr>
          <w:sz w:val="24"/>
          <w:szCs w:val="24"/>
          <w:color w:val="auto"/>
        </w:rPr>
      </w:pPr>
    </w:p>
    <w:p>
      <w:pPr>
        <w:ind w:left="3400"/>
        <w:spacing w:after="0"/>
        <w:tabs>
          <w:tab w:leader="none" w:pos="596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3543935</wp:posOffset>
            </wp:positionH>
            <wp:positionV relativeFrom="paragraph">
              <wp:posOffset>-7620</wp:posOffset>
            </wp:positionV>
            <wp:extent cx="602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61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001-12957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Viskase Holdings,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380" w:type="dxa"/>
        <w:tblCellMar>
          <w:top w:w="0" w:type="dxa"/>
          <w:left w:w="0" w:type="dxa"/>
          <w:bottom w:w="0" w:type="dxa"/>
          <w:right w:w="0" w:type="dxa"/>
        </w:tblCellMar>
      </w:tblPr>
      <w:tr>
        <w:trPr>
          <w:trHeight w:val="220"/>
        </w:trPr>
        <w:tc>
          <w:tcPr>
            <w:tcW w:w="49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22-2372868</w:t>
            </w:r>
          </w:p>
        </w:tc>
      </w:tr>
      <w:tr>
        <w:trPr>
          <w:trHeight w:val="234"/>
        </w:trPr>
        <w:tc>
          <w:tcPr>
            <w:tcW w:w="49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(State of incorporation)</w:t>
            </w:r>
          </w:p>
        </w:tc>
        <w:tc>
          <w:tcPr>
            <w:tcW w:w="3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49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333 East Butterfield Road, Suite 400, Lombard, Illinois</w:t>
            </w:r>
          </w:p>
        </w:tc>
        <w:tc>
          <w:tcPr>
            <w:tcW w:w="33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60148</w:t>
            </w:r>
          </w:p>
        </w:tc>
      </w:tr>
      <w:tr>
        <w:trPr>
          <w:trHeight w:val="234"/>
        </w:trPr>
        <w:tc>
          <w:tcPr>
            <w:tcW w:w="49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874-0700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Enzon Pharmaceuticals,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 Commerce Drive, Suite 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Cranford, New Jersey 07016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Name of each exchange on which registered</w:t>
            </w:r>
          </w:p>
        </w:tc>
      </w:tr>
      <w:tr>
        <w:trPr>
          <w:trHeight w:val="228"/>
        </w:trPr>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40" w:type="dxa"/>
            <w:vAlign w:val="bottom"/>
          </w:tcPr>
          <w:p>
            <w:pPr>
              <w:spacing w:after="0"/>
              <w:rPr>
                <w:sz w:val="19"/>
                <w:szCs w:val="19"/>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364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8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4360" w:space="720"/>
            <w:col w:w="484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of Common Stock outstanding as of May 4, 2026: 14,331,620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540385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VISKASE HOLDINGS, INC.</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0000EE"/>
            </w:tcBorders>
            <w:gridSpan w:val="4"/>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2540" w:type="dxa"/>
            <w:vAlign w:val="bottom"/>
            <w:tcBorders>
              <w:bottom w:val="single" w:sz="8" w:color="CCEEFF"/>
            </w:tcBorders>
            <w:gridSpan w:val="2"/>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300" w:type="dxa"/>
            <w:vAlign w:val="bottom"/>
            <w:gridSpan w:val="16"/>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2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2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4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7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00" w:type="dxa"/>
            <w:vAlign w:val="bottom"/>
            <w:gridSpan w:val="1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540" w:type="dxa"/>
            <w:vAlign w:val="bottom"/>
            <w:gridSpan w:val="5"/>
            <w:shd w:val="clear" w:color="auto" w:fill="CCEEFF"/>
          </w:tcPr>
          <w:p>
            <w:pPr>
              <w:jc w:val="center"/>
              <w:ind w:right="268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880" w:type="dxa"/>
            <w:vAlign w:val="bottom"/>
            <w:tcBorders>
              <w:bottom w:val="single" w:sz="8" w:color="CCEEFF"/>
            </w:tcBorders>
            <w:gridSpan w:val="10"/>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300" w:type="dxa"/>
            <w:vAlign w:val="bottom"/>
            <w:gridSpan w:val="16"/>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860" w:type="dxa"/>
            <w:vAlign w:val="bottom"/>
            <w:tcBorders>
              <w:bottom w:val="single" w:sz="8" w:color="CCEEFF"/>
            </w:tcBorders>
            <w:gridSpan w:val="4"/>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300" w:type="dxa"/>
            <w:vAlign w:val="bottom"/>
            <w:gridSpan w:val="16"/>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6440" w:type="dxa"/>
            <w:vAlign w:val="bottom"/>
            <w:tcBorders>
              <w:bottom w:val="single" w:sz="8" w:color="CCEEFF"/>
            </w:tcBorders>
            <w:gridSpan w:val="8"/>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300" w:type="dxa"/>
            <w:vAlign w:val="bottom"/>
            <w:gridSpan w:val="16"/>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24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4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Signatures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VISKASE HOLDINGS, INC. AND SUBSIDIARIES CONDENSED CONSOLIDATED BALANCE SHEETS (In Thousands, Except for Number of Shares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vMerge w:val="restart"/>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28,619</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Receivables, net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44,283</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234,581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208,648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482,326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(342,550)</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141,304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428,874</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402,142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MEZZANINE EQUITY, AND STOCKHOLDERS’ EQUITY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debt</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51,104</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Short-term lease liabilities</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net of current maturities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employee benefits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Mezzanine equity: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Series C preferred stock - $0.01 par value, 3,000,000 shares authorized, 384 and 0 issued and outstanding (liquidation value</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$1,129 and $0 per share) at March 31, 2026 and December 31, 2025, respectively</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170,000,000 shares authorized, 14,371,173 shares issued and 14,331,620 shares outstanding</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at March 31, 2026 and 170,000,000 shares authorized 6,651,652 shares issued and 6,612,099 shares outstanding at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Paid in capital</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(57,331)</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(55,361)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Viskase stockholders’ equity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145,843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Deficit attributable to non-controlling interest</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190,685</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Mezzanine Equity, and Stockholders’ Equity</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428,874</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402,142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VISKASE HOLDINGS, INC. AND SUBSIDIARIES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Thousands, Except for Number of Shares and Per Share Amounts)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vMerge w:val="restart"/>
          </w:tcPr>
          <w:p>
            <w:pPr>
              <w:ind w:left="7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56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7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impairment expense</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Viskase Companies,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7,931,249</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AMOUNTS: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VISKASE HOLDINGS,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ind w:left="70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2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attributable to Viskase Holdings, Inc</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VISKASE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180" w:type="dxa"/>
            <w:vAlign w:val="bottom"/>
          </w:tcPr>
          <w:p>
            <w:pPr>
              <w:spacing w:after="0"/>
              <w:rPr>
                <w:sz w:val="13"/>
                <w:szCs w:val="13"/>
                <w:color w:val="auto"/>
              </w:rPr>
            </w:pPr>
          </w:p>
        </w:tc>
        <w:tc>
          <w:tcPr>
            <w:tcW w:w="65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Mezzanine</w:t>
            </w:r>
          </w:p>
        </w:tc>
        <w:tc>
          <w:tcPr>
            <w:tcW w:w="11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65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80" w:type="dxa"/>
            <w:vAlign w:val="bottom"/>
          </w:tcPr>
          <w:p>
            <w:pPr>
              <w:spacing w:after="0"/>
              <w:rPr>
                <w:sz w:val="12"/>
                <w:szCs w:val="12"/>
                <w:color w:val="auto"/>
              </w:rPr>
            </w:pPr>
          </w:p>
        </w:tc>
        <w:tc>
          <w:tcPr>
            <w:tcW w:w="65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Viskase</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5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 w:type="dxa"/>
            <w:vAlign w:val="bottom"/>
            <w:vMerge w:val="restart"/>
          </w:tcPr>
          <w:p>
            <w:pPr>
              <w:ind w:left="5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Treasury Retained comprehensivestockholders’controlling</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73"/>
        </w:trPr>
        <w:tc>
          <w:tcPr>
            <w:tcW w:w="2180" w:type="dxa"/>
            <w:vAlign w:val="bottom"/>
            <w:gridSpan w:val="2"/>
          </w:tcPr>
          <w:p>
            <w:pPr>
              <w:jc w:val="center"/>
              <w:ind w:left="112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(Shares)</w:t>
            </w:r>
          </w:p>
        </w:tc>
        <w:tc>
          <w:tcPr>
            <w:tcW w:w="180" w:type="dxa"/>
            <w:vAlign w:val="bottom"/>
            <w:vMerge w:val="continue"/>
          </w:tcPr>
          <w:p>
            <w:pPr>
              <w:spacing w:after="0"/>
              <w:rPr>
                <w:sz w:val="15"/>
                <w:szCs w:val="15"/>
                <w:color w:val="auto"/>
              </w:rPr>
            </w:pPr>
          </w:p>
        </w:tc>
        <w:tc>
          <w:tcPr>
            <w:tcW w:w="65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vMerge w:val="continue"/>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12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January 1,</w:t>
            </w:r>
          </w:p>
        </w:tc>
        <w:tc>
          <w:tcPr>
            <w:tcW w:w="940" w:type="dxa"/>
            <w:vAlign w:val="bottom"/>
            <w:tcBorders>
              <w:top w:val="single" w:sz="8" w:color="auto"/>
              <w:left w:val="single" w:sz="8" w:color="CCEEFF"/>
              <w:right w:val="single" w:sz="8" w:color="CCEEFF"/>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650" w:type="dxa"/>
            <w:vAlign w:val="bottom"/>
            <w:tcBorders>
              <w:top w:val="single" w:sz="8" w:color="auto"/>
              <w:right w:val="single" w:sz="8" w:color="CCEEFF"/>
            </w:tcBorders>
            <w:shd w:val="clear" w:color="auto" w:fill="CCEEFF"/>
          </w:tcPr>
          <w:p>
            <w:pPr>
              <w:spacing w:after="0"/>
              <w:rPr>
                <w:sz w:val="9"/>
                <w:szCs w:val="9"/>
                <w:color w:val="auto"/>
              </w:rPr>
            </w:pPr>
          </w:p>
        </w:tc>
        <w:tc>
          <w:tcPr>
            <w:tcW w:w="11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left w:val="single" w:sz="8" w:color="CCEEFF"/>
            </w:tcBorders>
            <w:shd w:val="clear" w:color="auto" w:fill="CCEEFF"/>
          </w:tcPr>
          <w:p>
            <w:pPr>
              <w:spacing w:after="0"/>
              <w:rPr>
                <w:sz w:val="9"/>
                <w:szCs w:val="9"/>
                <w:color w:val="auto"/>
              </w:rPr>
            </w:pPr>
          </w:p>
        </w:tc>
        <w:tc>
          <w:tcPr>
            <w:tcW w:w="780" w:type="dxa"/>
            <w:vAlign w:val="bottom"/>
            <w:tcBorders>
              <w:top w:val="single" w:sz="8" w:color="auto"/>
              <w:right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600" w:type="dxa"/>
            <w:vAlign w:val="bottom"/>
            <w:tcBorders>
              <w:top w:val="single" w:sz="8" w:color="auto"/>
              <w:right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right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2025 (as</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left w:val="single" w:sz="8" w:color="CCEEFF"/>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103,190,665</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$ 53,610</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171,309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reported)</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60" w:type="dxa"/>
            <w:vAlign w:val="bottom"/>
            <w:tcBorders>
              <w:left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(98,122,166)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Balances at</w:t>
            </w:r>
          </w:p>
        </w:tc>
        <w:tc>
          <w:tcPr>
            <w:tcW w:w="940" w:type="dxa"/>
            <w:vAlign w:val="bottom"/>
            <w:tcBorders>
              <w:left w:val="single" w:sz="8" w:color="CCEEFF"/>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50" w:type="dxa"/>
            <w:vAlign w:val="bottom"/>
            <w:tcBorders>
              <w:right w:val="single" w:sz="8" w:color="CCEEFF"/>
            </w:tcBorders>
            <w:shd w:val="clear" w:color="auto" w:fill="CCEEFF"/>
          </w:tcPr>
          <w:p>
            <w:pPr>
              <w:spacing w:after="0"/>
              <w:rPr>
                <w:sz w:val="10"/>
                <w:szCs w:val="10"/>
                <w:color w:val="auto"/>
              </w:rPr>
            </w:pPr>
          </w:p>
        </w:tc>
        <w:tc>
          <w:tcPr>
            <w:tcW w:w="11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January 1, 2025</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effect of reverse</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(refer</w:t>
            </w:r>
          </w:p>
        </w:tc>
        <w:tc>
          <w:tcPr>
            <w:tcW w:w="9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5,068,499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53,610</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(65,386)</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171,309</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Note 2)</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50" w:type="dxa"/>
            <w:vAlign w:val="bottom"/>
            <w:tcBorders>
              <w:top w:val="single" w:sz="8" w:color="auto"/>
            </w:tcBorders>
          </w:tcPr>
          <w:p>
            <w:pPr>
              <w:spacing w:after="0"/>
              <w:rPr>
                <w:sz w:val="12"/>
                <w:szCs w:val="12"/>
                <w:color w:val="auto"/>
              </w:rPr>
            </w:pPr>
          </w:p>
        </w:tc>
        <w:tc>
          <w:tcPr>
            <w:tcW w:w="11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left w:val="single" w:sz="8" w:color="CCEEFF"/>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(13,585)</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(13,585)</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2,157</w:t>
            </w: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Pension liability</w:t>
            </w:r>
          </w:p>
        </w:tc>
        <w:tc>
          <w:tcPr>
            <w:tcW w:w="940" w:type="dxa"/>
            <w:vAlign w:val="bottom"/>
            <w:tcBorders>
              <w:left w:val="single" w:sz="8" w:color="CCEEFF"/>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50" w:type="dxa"/>
            <w:vAlign w:val="bottom"/>
            <w:tcBorders>
              <w:right w:val="single" w:sz="8" w:color="CCEEFF"/>
            </w:tcBorders>
            <w:shd w:val="clear" w:color="auto" w:fill="CCEEFF"/>
          </w:tcPr>
          <w:p>
            <w:pPr>
              <w:spacing w:after="0"/>
              <w:rPr>
                <w:sz w:val="10"/>
                <w:szCs w:val="10"/>
                <w:color w:val="auto"/>
              </w:rPr>
            </w:pPr>
          </w:p>
        </w:tc>
        <w:tc>
          <w:tcPr>
            <w:tcW w:w="11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 net</w:t>
            </w:r>
          </w:p>
        </w:tc>
        <w:tc>
          <w:tcPr>
            <w:tcW w:w="9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tax</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Private placement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350,841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14,996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of common stock</w:t>
            </w: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50" w:type="dxa"/>
            <w:vAlign w:val="bottom"/>
            <w:tcBorders>
              <w:bottom w:val="single" w:sz="8" w:color="auto"/>
            </w:tcBorders>
            <w:vMerge w:val="continue"/>
          </w:tcPr>
          <w:p>
            <w:pPr>
              <w:spacing w:after="0"/>
              <w:rPr>
                <w:sz w:val="14"/>
                <w:szCs w:val="14"/>
                <w:color w:val="auto"/>
              </w:rPr>
            </w:pPr>
          </w:p>
        </w:tc>
        <w:tc>
          <w:tcPr>
            <w:tcW w:w="11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2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March 31,</w:t>
            </w:r>
          </w:p>
        </w:tc>
        <w:tc>
          <w:tcPr>
            <w:tcW w:w="9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5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5,419,340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198,030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$ 40,025</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174,980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2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left w:val="single" w:sz="8" w:color="CCEEFF"/>
              <w:right w:val="single" w:sz="8" w:color="CCEEFF"/>
            </w:tcBorders>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50" w:type="dxa"/>
            <w:vAlign w:val="bottom"/>
            <w:tcBorders>
              <w:right w:val="single" w:sz="8" w:color="CCEEFF"/>
            </w:tcBorders>
            <w:vMerge w:val="continue"/>
            <w:shd w:val="clear" w:color="auto" w:fill="CCEEFF"/>
          </w:tcPr>
          <w:p>
            <w:pPr>
              <w:spacing w:after="0"/>
              <w:rPr>
                <w:sz w:val="13"/>
                <w:szCs w:val="13"/>
                <w:color w:val="auto"/>
              </w:rPr>
            </w:pPr>
          </w:p>
        </w:tc>
        <w:tc>
          <w:tcPr>
            <w:tcW w:w="11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40" w:type="dxa"/>
            <w:vAlign w:val="bottom"/>
            <w:tcBorders>
              <w:right w:val="single" w:sz="8" w:color="CCEEFF"/>
            </w:tcBorders>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120" w:type="dxa"/>
            <w:vAlign w:val="bottom"/>
            <w:tcBorders>
              <w:right w:val="single" w:sz="8" w:color="CCEEFF"/>
            </w:tcBorders>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4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00" w:type="dxa"/>
            <w:vAlign w:val="bottom"/>
            <w:tcBorders>
              <w:right w:val="single" w:sz="8" w:color="CCEEFF"/>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tcBorders>
              <w:right w:val="single" w:sz="8" w:color="CCEEFF"/>
            </w:tcBorders>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5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83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1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65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4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80" w:type="dxa"/>
            <w:vAlign w:val="bottom"/>
          </w:tcPr>
          <w:p>
            <w:pPr>
              <w:spacing w:after="0"/>
              <w:rPr>
                <w:sz w:val="12"/>
                <w:szCs w:val="12"/>
                <w:color w:val="auto"/>
              </w:rPr>
            </w:pPr>
          </w:p>
        </w:tc>
        <w:tc>
          <w:tcPr>
            <w:tcW w:w="65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Viskase</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2"/>
                <w:szCs w:val="12"/>
                <w:color w:val="auto"/>
              </w:rPr>
            </w:pPr>
          </w:p>
        </w:tc>
        <w:tc>
          <w:tcPr>
            <w:tcW w:w="65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10" w:type="dxa"/>
            <w:vAlign w:val="bottom"/>
            <w:vMerge w:val="restart"/>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Treasury Retained comprehensivestockholders’controlling</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5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vMerge w:val="continue"/>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12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January 1,</w:t>
            </w:r>
          </w:p>
        </w:tc>
        <w:tc>
          <w:tcPr>
            <w:tcW w:w="940" w:type="dxa"/>
            <w:vAlign w:val="bottom"/>
            <w:tcBorders>
              <w:top w:val="single" w:sz="8" w:color="auto"/>
              <w:left w:val="single" w:sz="8" w:color="CCEEFF"/>
              <w:right w:val="single" w:sz="8" w:color="CCEEFF"/>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650" w:type="dxa"/>
            <w:vAlign w:val="bottom"/>
            <w:tcBorders>
              <w:top w:val="single" w:sz="8" w:color="auto"/>
              <w:right w:val="single" w:sz="8" w:color="CCEEFF"/>
            </w:tcBorders>
            <w:shd w:val="clear" w:color="auto" w:fill="CCEEFF"/>
          </w:tcPr>
          <w:p>
            <w:pPr>
              <w:spacing w:after="0"/>
              <w:rPr>
                <w:sz w:val="9"/>
                <w:szCs w:val="9"/>
                <w:color w:val="auto"/>
              </w:rPr>
            </w:pPr>
          </w:p>
        </w:tc>
        <w:tc>
          <w:tcPr>
            <w:tcW w:w="11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CCEEFF"/>
              <w:left w:val="single" w:sz="8" w:color="CCEEFF"/>
            </w:tcBorders>
            <w:shd w:val="clear" w:color="auto" w:fill="CCEEFF"/>
          </w:tcPr>
          <w:p>
            <w:pPr>
              <w:spacing w:after="0"/>
              <w:rPr>
                <w:sz w:val="9"/>
                <w:szCs w:val="9"/>
                <w:color w:val="auto"/>
              </w:rPr>
            </w:pPr>
          </w:p>
        </w:tc>
        <w:tc>
          <w:tcPr>
            <w:tcW w:w="780" w:type="dxa"/>
            <w:vAlign w:val="bottom"/>
            <w:tcBorders>
              <w:top w:val="single" w:sz="8" w:color="CCEEFF"/>
              <w:right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600" w:type="dxa"/>
            <w:vAlign w:val="bottom"/>
            <w:tcBorders>
              <w:top w:val="single" w:sz="8" w:color="auto"/>
              <w:right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right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2026 (as</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40" w:type="dxa"/>
            <w:vAlign w:val="bottom"/>
            <w:tcBorders>
              <w:left w:val="single" w:sz="8" w:color="CCEEFF"/>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5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tcBorders>
              <w:left w:val="single" w:sz="8" w:color="CCEEFF"/>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134,617,157</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$212,037</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(11,881)</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145,843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reported)</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60" w:type="dxa"/>
            <w:vAlign w:val="bottom"/>
            <w:tcBorders>
              <w:left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5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(128,005,058)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January 1,</w:t>
            </w:r>
          </w:p>
        </w:tc>
        <w:tc>
          <w:tcPr>
            <w:tcW w:w="9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50" w:type="dxa"/>
            <w:vAlign w:val="bottom"/>
            <w:tcBorders>
              <w:right w:val="single" w:sz="8" w:color="CCEEFF"/>
            </w:tcBorders>
            <w:shd w:val="clear" w:color="auto" w:fill="000000"/>
          </w:tcPr>
          <w:p>
            <w:pPr>
              <w:spacing w:after="0" w:line="20" w:lineRule="exact"/>
              <w:rPr>
                <w:sz w:val="1"/>
                <w:szCs w:val="1"/>
                <w:color w:val="auto"/>
              </w:rPr>
            </w:pPr>
          </w:p>
        </w:tc>
        <w:tc>
          <w:tcPr>
            <w:tcW w:w="11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240" w:type="dxa"/>
            <w:vAlign w:val="bottom"/>
            <w:vMerge w:val="continue"/>
            <w:shd w:val="clear" w:color="auto" w:fill="CCEEFF"/>
          </w:tcPr>
          <w:p>
            <w:pPr>
              <w:spacing w:after="0"/>
              <w:rPr>
                <w:sz w:val="9"/>
                <w:szCs w:val="9"/>
                <w:color w:val="auto"/>
              </w:rPr>
            </w:pPr>
          </w:p>
        </w:tc>
        <w:tc>
          <w:tcPr>
            <w:tcW w:w="940" w:type="dxa"/>
            <w:vAlign w:val="bottom"/>
            <w:tcBorders>
              <w:left w:val="single" w:sz="8" w:color="CCEEFF"/>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5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6,612,099</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$213,019</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(11,881)</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145,843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left w:val="single" w:sz="8" w:color="CCEEFF"/>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(6,689)</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(6,689)</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5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Pension liability</w:t>
            </w:r>
          </w:p>
        </w:tc>
        <w:tc>
          <w:tcPr>
            <w:tcW w:w="940" w:type="dxa"/>
            <w:vAlign w:val="bottom"/>
            <w:tcBorders>
              <w:left w:val="single" w:sz="8" w:color="CCEEFF"/>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50" w:type="dxa"/>
            <w:vAlign w:val="bottom"/>
            <w:tcBorders>
              <w:right w:val="single" w:sz="8" w:color="CCEEFF"/>
            </w:tcBorders>
            <w:shd w:val="clear" w:color="auto" w:fill="CCEEFF"/>
          </w:tcPr>
          <w:p>
            <w:pPr>
              <w:spacing w:after="0"/>
              <w:rPr>
                <w:sz w:val="10"/>
                <w:szCs w:val="10"/>
                <w:color w:val="auto"/>
              </w:rPr>
            </w:pPr>
          </w:p>
        </w:tc>
        <w:tc>
          <w:tcPr>
            <w:tcW w:w="11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 net</w:t>
            </w:r>
          </w:p>
        </w:tc>
        <w:tc>
          <w:tcPr>
            <w:tcW w:w="940" w:type="dxa"/>
            <w:vAlign w:val="bottom"/>
            <w:tcBorders>
              <w:left w:val="single" w:sz="8" w:color="CCEEFF"/>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tax</w:t>
            </w:r>
          </w:p>
        </w:tc>
        <w:tc>
          <w:tcPr>
            <w:tcW w:w="94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Private placement</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common</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5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11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1,270,288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940" w:type="dxa"/>
            <w:vAlign w:val="bottom"/>
            <w:tcBorders>
              <w:left w:val="single" w:sz="8" w:color="CCEEFF"/>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50" w:type="dxa"/>
            <w:vAlign w:val="bottom"/>
            <w:tcBorders>
              <w:right w:val="single" w:sz="8" w:color="CCEEFF"/>
            </w:tcBorders>
            <w:shd w:val="clear" w:color="auto" w:fill="CCEEFF"/>
          </w:tcPr>
          <w:p>
            <w:pPr>
              <w:spacing w:after="0"/>
              <w:rPr>
                <w:sz w:val="10"/>
                <w:szCs w:val="10"/>
                <w:color w:val="auto"/>
              </w:rPr>
            </w:pPr>
          </w:p>
        </w:tc>
        <w:tc>
          <w:tcPr>
            <w:tcW w:w="11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consideration</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94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shd w:val="clear" w:color="auto" w:fill="CCEEFF"/>
          </w:tcPr>
          <w:p>
            <w:pPr>
              <w:spacing w:after="0"/>
              <w:rPr>
                <w:sz w:val="12"/>
                <w:szCs w:val="12"/>
                <w:color w:val="auto"/>
              </w:rPr>
            </w:pP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w:t>
            </w:r>
          </w:p>
        </w:tc>
        <w:tc>
          <w:tcPr>
            <w:tcW w:w="940" w:type="dxa"/>
            <w:vAlign w:val="bottom"/>
            <w:tcBorders>
              <w:left w:val="single" w:sz="8" w:color="CCEEFF"/>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384</w:t>
            </w:r>
          </w:p>
        </w:tc>
        <w:tc>
          <w:tcPr>
            <w:tcW w:w="180" w:type="dxa"/>
            <w:vAlign w:val="bottom"/>
            <w:tcBorders>
              <w:right w:val="single" w:sz="8" w:color="CCEEFF"/>
            </w:tcBorders>
            <w:shd w:val="clear" w:color="auto" w:fill="CCEEFF"/>
          </w:tcPr>
          <w:p>
            <w:pPr>
              <w:spacing w:after="0"/>
              <w:rPr>
                <w:sz w:val="12"/>
                <w:szCs w:val="12"/>
                <w:color w:val="auto"/>
              </w:rPr>
            </w:pPr>
          </w:p>
        </w:tc>
        <w:tc>
          <w:tcPr>
            <w:tcW w:w="65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433</w:t>
            </w:r>
          </w:p>
        </w:tc>
        <w:tc>
          <w:tcPr>
            <w:tcW w:w="11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6,449,233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40,016</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2)</w:t>
            </w:r>
          </w:p>
        </w:tc>
        <w:tc>
          <w:tcPr>
            <w:tcW w:w="940" w:type="dxa"/>
            <w:vAlign w:val="bottom"/>
            <w:tcBorders>
              <w:left w:val="single" w:sz="8" w:color="CCEEFF"/>
              <w:bottom w:val="single" w:sz="8" w:color="auto"/>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5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1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60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 March 31,</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5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433</w:t>
            </w:r>
          </w:p>
        </w:tc>
        <w:tc>
          <w:tcPr>
            <w:tcW w:w="11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14,331,620</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267,958</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 xml:space="preserve"> (18,570)</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192,200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24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2026</w:t>
            </w:r>
          </w:p>
        </w:tc>
        <w:tc>
          <w:tcPr>
            <w:tcW w:w="9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50" w:type="dxa"/>
            <w:vAlign w:val="bottom"/>
            <w:vMerge w:val="continue"/>
          </w:tcPr>
          <w:p>
            <w:pPr>
              <w:spacing w:after="0"/>
              <w:rPr>
                <w:sz w:val="13"/>
                <w:szCs w:val="13"/>
                <w:color w:val="auto"/>
              </w:rPr>
            </w:pPr>
          </w:p>
        </w:tc>
        <w:tc>
          <w:tcPr>
            <w:tcW w:w="11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-5939790</wp:posOffset>
            </wp:positionV>
            <wp:extent cx="8890" cy="2743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7432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-3034030</wp:posOffset>
            </wp:positionV>
            <wp:extent cx="8255" cy="3017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3017520"/>
                    </a:xfrm>
                    <a:prstGeom prst="rect">
                      <a:avLst/>
                    </a:prstGeom>
                    <a:noFill/>
                  </pic:spPr>
                </pic:pic>
              </a:graphicData>
            </a:graphic>
          </wp:anchor>
        </w:drawing>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VISKASE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vMerge w:val="restart"/>
          </w:tcPr>
          <w:p>
            <w:pPr>
              <w:ind w:left="7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2"/>
                <w:szCs w:val="12"/>
                <w:color w:val="auto"/>
              </w:rPr>
            </w:pPr>
          </w:p>
        </w:tc>
        <w:tc>
          <w:tcPr>
            <w:tcW w:w="28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acquired in connection with reverse recapitalization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equivalents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paid less capitalized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paid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 in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VISKASE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2026, (the “Closing Date”) Viskase Holdings, Inc. (formerly known as Enzon Pharmaceuticals, Inc.) consummated the previously announced transactions pursuant to the Agreement and Plan of Merger, dated as of June 20, 2025, by and among Viskase Companies, Inc., EPSC Acquisition Corp., a wholly owned subsidiary of Enzon Pharmaceuticals, Inc. (“Merger Sub”), and Enzon Pharmaceuticals, Inc. (“Enzon”), as amended by the First Amendment to the Agreement and Plan of Merger, dated as of October 24, 2025 (as amended, the “Merger Agreement”). Pursuant to the terms of the Merger Agreement, on the Closing Date, Merger Sub merged with and into Viskase Companies, Inc., with Viskase Companies, Inc. continuing as the surviving entity following the Merger and as a wholly owned subsidiary of Viskase Holdings, Inc. Promptly following the Merger, Viskase Companies, Inc. converted into a limited liability company under Delaware law and changed its name to “Viskase Companies, LLC”, which we refer to as “Viskase Companies”.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Promptly following the Merger, Enzon filed a Certificate of Amendment to its Amended and Restated Certificate of Incorporation with the Secretary of State of Delaware to change its name to “Viskase Holdings,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transactions contemplated by the Merger Agreement are hereinafter referred to as the “Merger.” Unless otherwise indicated or the context otherwise requires, references in these notes to condensed consolidated financial statements to “Viskase” and “the Company” refer to the business and operations of Viskase Companies prior to the Merger and to Viskase Holdings, Inc. and its consolidated subsidiaries following the Merger. See Note 2,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for additional information on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Viskase Holdings, Inc. together with its subsidiaries (“we” or the “Company”) is a producer of non-edible cellulosic, fibrous and plastic casings used to prepare and package processed meat products, and provides value-added support services relating to these products, for some of the largest global consumer products companies. We were incorporated in Delaware in 1970. The Company operates eight manufacturing facilities in North America, Europe, South America, and Asia and, as a result, is able to sell its products in nearly one hundred countries throughout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are prepared using accounting principles generally accepted in the United States of America applicable to a going concern which contemplates the realization of assets and liquidation of liabilities in the normal course of business. The ability of the Company to continue as a going concern is dependent on the Company obtaining adequate refinancing of its Senior Credit Facility before its maturity in August 2027.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fully expect the refinancing will be completed before the maturity of its Senior Credit Facility. However, there is no assurance that the Company will be able to obtain sufficient additional funds to refinance these maturities or that such funds, if available, will be obtainable on terms satisfactory to the Company, and therefore substantial doubt exists about the Company’s ability to continue as a going concern.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that might result from the Company being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our domestic sales and profits have been seasonal in nature, increasing in the spring and summer months. Sales outside of the United States follow a relatively stable pattern throughout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United States (“U.S. GAAP”). The consolidated financial statements include the accounts of the Company, its subsidiaries and variable interest entity (“VIE”) for which the Company is the primary beneficiary. All inter-company accounts and transactions have been eliminated in consolidation.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details and footnotes required under U.S. GAAP have been reduced or omitted to meet regulatory guidelines in the interim financial statements, but the Company believes the information remains clear and accurate. For a more complete understanding, these interim financial statements should be considered alongside the consolidated financial statements and notes included in the Company’s annual report for the year ending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accompanying unaudited condensed consolidated financial statements include all necessary adjustments, comprising routine recurring accruals, to accurately reflect the financial position as of March 31, 2026, as well as the operating results and cash flows for the periods presented. However, the operating results for the period ended March 31, 2026 may not be representative of the results expected for the full year ending December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consolidated its variable interest in a joint venture, VE Netting, LLC, as the Company is identified as the primary beneficiary. Noncontrolling interests reflect the equity ownership held by third parties. These noncontrolling interests are presented as a separate component of equity within the consolidated financial statements, distinct from the Company’s stockholders’ equity. The portion of net (loss) income attributable to noncontrolling interests is reported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are prepared in accordance with generally accepted accounting principles (“GAAP”) in the United States of America and include the use of estimates and assumptions that affect a number of amounts included in the Company’s financial statements, including, among other things, pensions and other postretirement benefits and related disclosures, reserves for excess and obsolete inventory, allowance for credit losses, and income taxes. Management bases its estimates on historical experience and other assumptions that we believe are reasonable. If actual amounts are ultimately different from previous estimates, the revisions are included in the Company’s results for the period in which the actual amounts become known. Historically, the aggregate differences, if any, between the Company’s estimates and actual amounts in any year have not had a significant effect on the Company’s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and accounts payable. The carrying amounts of these financial assets and liabilities approximate fair value due to the short maturities of these instruments. Management believes the fair value of the Company’s revolving loans approximate the carrying value due to credit risk or current market rates, which approximate the effective interest rates on those instruments. The fair value of the Company’s term loans is estimated by discounting the future cash flow using the Company’s current borrowing rates for similar types and maturities of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measured using enacted tax laws and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In addition, the amounts of any future tax benefits are reduced by a valuation allowance to the extent such benefits are not expected to be realized on a more likely than not basis.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We recognize interest and penalties related to uncertain tax positions in our provision for income taxes line of our consolidated statements of operations.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Restructuring charges are incurred for programs in which the Company changes its operations, the scope of a business undertaken by its business units, or the manner in which that business is conducted. Such charges may include employee severance, retention bonuses, facility closure or consolidation costs, lease or contract termination costs, accelerated depreciation and amortization, and other related expenses. The restructuring programs may be implemented due to the sale or discontinuation of a product line, reorganization or management structure changes, headcount rationalization, realignment of operations or products, and/or company-wide cost saving initiatives. The amount and/or frequency of these restructuring charges are not part of the Company’s underlying business. Employee severance costs are generally recognized when payments are probable and amounts are reasonably estimable. Costs related to contracts without future benefit or contract termination are recognized at fair value at the earlier of the contract termination or the cease-use dates. Other exit-related costs are expensed as incurred. Refer to Note 16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additional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holds a variable interest in VE Netting, LLC. The joint venture is a manufacturing, marketing and selling company of high-quality netting solutions for the meat and poultry industry. VE Netting, LLC is a Delaware limited liability company with its principal place of business in Lombard, IL. The netting product is manufactured under agreement by Viskase’s affiliate located in Monterrey, Mexico. VE Netting, LLC was determined to be a variable interest entity (VIE) in accordance with ASC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for which the Company is the primary beneficiary, as the Company has the power to direct activities that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impact the economic performance and has the right to receive benefits and losses that may potentially be significant. As the primary beneficiary of the VIE, the VIE’s assets, liabilities, and results of operations are included in the Company’s condensed consolidated financial statements as of March 31, 2026 and December 31, 2025 and for the three ended March 31, 2026 and March 31, 2025. The other equity holders’ interests are reflected in “Net (loss) income attributable to noncontrolling interests” in the Consolidated Statements of Operations and “Noncontrolling interests” in the Condensed Consolidated Balance Sheets. See Note 14 -</w:t>
      </w:r>
      <w:r>
        <w:rPr>
          <w:rFonts w:ascii="Times New Roman" w:cs="Times New Roman" w:eastAsia="Times New Roman" w:hAnsi="Times New Roman"/>
          <w:sz w:val="18"/>
          <w:szCs w:val="18"/>
          <w:i w:val="1"/>
          <w:iCs w:val="1"/>
          <w:color w:val="auto"/>
        </w:rPr>
        <w:t>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 </w:t>
      </w:r>
      <w:r>
        <w:rPr>
          <w:rFonts w:ascii="Times New Roman" w:cs="Times New Roman" w:eastAsia="Times New Roman" w:hAnsi="Times New Roman"/>
          <w:sz w:val="18"/>
          <w:szCs w:val="18"/>
          <w:color w:val="auto"/>
        </w:rPr>
        <w:t>for standalone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(loss) income includes all other non-stockholder changes in equity. Changes in other comprehensive income (loss) for three ended March 31, 2026 and December 31,2025 resulted from changes in foreign currency translation and pension liability.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income consists of cumulative changes in foreign currency translation and pension liability. The Company uses the portfolio approach for releasing income tax effects from accumulated other comprehensive (loss)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comprised of product sales to customers, including distributors and end users. The Company’s performance obligation is defined as the promise to deliver the specified products in a purchase order. Revenue is recognized at the point in time in which the customer obtains control of the product, which is generally when product title passes to the customer according to the shipping terms dictated in the contract. In most contracts, title transfers upon shipment of the product; however, in some cases, title does not transfer until the customer has received the products at their specified location.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recorded at the transaction price, which is the amount of consideration the Company expects to receive in exchange for providing its products to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 price may be adjusted for estimates of known or expected variable consideration, including consumer incentives, trade promotions, and rebate programs. The Company estimates the amount of variable consideration that will be realized and records the estimate as a reduction to the transaction price. These estimates are based on historical experience, anticipated performance and the Company’s best judgment at the time. In determining whether an estimate of variable consideration is constrained, we consider the likelihood and magnitude of a potential revenue reversal. The Company’s provision for variable consideration is recorded at contract inception and reviewed and updated regularly as new information arises throughout the contract term. Any adjustments due to resolved uncertainties or new information are recognized in the period in which the adjustment is identified.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value add, and other taxes collected from customers and remitted to governmental authorities are excluded from the transaction price, while shipping and handling fees reimbursed by the customer are included in the transaction price and recorded on a gross basis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income statement. The Company generally does not offer warranties or a right to return on the products it sells except in the instance of a product defect or mis-ship.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terms vary by customer; however, the time between invoicing and payment is not significant. None of the Company’s customer contracts as of March 31, 2026 and December 31, 2025 contain a significant financing component.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makes such decisions and assesses performance at the geographic region level, including North America, South America, EMEA, and Asia which are the Company’s four reportable segments under ASC 280. See Note 12, </w:t>
      </w:r>
      <w:r>
        <w:rPr>
          <w:rFonts w:ascii="Times New Roman" w:cs="Times New Roman" w:eastAsia="Times New Roman" w:hAnsi="Times New Roman"/>
          <w:sz w:val="18"/>
          <w:szCs w:val="18"/>
          <w:i w:val="1"/>
          <w:iCs w:val="1"/>
          <w:color w:val="auto"/>
        </w:rPr>
        <w:t xml:space="preserve">Business Segment Information and Geographic Area Information </w:t>
      </w:r>
      <w:r>
        <w:rPr>
          <w:rFonts w:ascii="Times New Roman" w:cs="Times New Roman" w:eastAsia="Times New Roman" w:hAnsi="Times New Roman"/>
          <w:sz w:val="18"/>
          <w:szCs w:val="18"/>
          <w:color w:val="auto"/>
        </w:rPr>
        <w:t>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debt in accordance with ASC 470, Debt (ASC 470). Issuance costs for term debt are presented on the balance sheet as a direct deduction from the carrying amount of the related debt liability. These costs are amortized over the term of the related debt using the interest method under ASC 835-30. The effective interest rate for variable rate debt is determined in accordance with ASC 310-20-35, in which the Company’s policy is to use the variable rate at inception of the debt in the determination of the constant effective yield.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(“VIE”). This standard clarifies the guidance in determining the accounting acquirer in certain transactions involving VIEs. The update aims to improve consistency and comparability in financial reporting for acquisition transactions effected primarily by exchanging equity interests. ASU 2025-03 requires entities to apply the same factors used for determining the accounting acquirer in other acquisition transactions. The ASU is applied prospectively to all business combinations with acquisition dates occurring on or after the date of initial application. The ASU is effective for all annual reporting periods (and interim periods in annual reporting periods) beginning after December 15, 2026. Early adoption is permitted in interim or annual reporting periods in which financial statements have not yet been issued (or made available for issuance). Management has elected to early adopt ASU 2025-03 in 2025 and did not result in a material impact to our consolidated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required enhanced income tax disclosures that reflect how operations and related tax risks, as well as how tax planning and operational opportunities, affect the tax rate and prospects for future cash flows. This standard was effective for the Company beginning January 1, 2025 with early adoption permitted. The ASU can be applied on a prospective basis but retrospective application was permitted. The adoption of this guidance modified disclosures in the Company’s consolidated financial statements. Our adoption on prospective basis in 2025 did not result in a material impact on our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Measurement of Credit Losses for Accounts Receivable and Contract Assets. The update introduces a practical expedient that permits an entity to assume that conditions as of the balance sheet date remain unchanged over the life of current accounts receivable and current contract assets when estimating expected credit losses. The amendments are intended to simplify the application of the current expected credit loss (“CECL”) model to short-term receivables and contract assets arising from transactions accounted for under Topic 606. The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standard is effective for fiscal years beginning after December 15, 2025, including interim periods within those fiscal years, with early adoption permitted. The Company is currently evaluating the impact of adopting ASU 2025-05 on its condensed consolidated financial statements and related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Merger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 Summary of Significant Accounting Policies, on March 26, 2026, the previously announced Merger between Viskase Companies, Merger Sub, and Enzon, was completed pursuant to the Merger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Date of the Merger, the following occurred:</w:t>
      </w:r>
    </w:p>
    <w:p>
      <w:pPr>
        <w:spacing w:after="0" w:line="225" w:lineRule="exact"/>
        <w:rPr>
          <w:sz w:val="20"/>
          <w:szCs w:val="20"/>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2026, Enzon commenced an offer to each holder of Enzon Series C Preferred Stock, other than the IEH Parties, to exchange each share of Enzon Series C Preferred Stock beneficially owned by such non-IEH party for a number of shares of Enzon Common Stock equal to (i) the aggregate liquidation value of the share divided by (ii) $7.83, which reflects the Enzon 20-Day volume weighted average price calculated in accordance with the Merger Agreement (the “Series C Exchange Offer”).</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Of the 723 shares of Enzon Series C Preferred Stock held by non-IEH Parties, holders of 339 shares elected to participate in the Series C Exchange Offer and exchanged such shares for shares of Enzon Common Stock prior to the Closing Date. The holders of the remaining 384 shares of Enzon Series C Preferred Stock did not elect to exchange their shares, and those shares remained outstanding as of the Closing Date.</w:t>
      </w:r>
    </w:p>
    <w:p>
      <w:pPr>
        <w:spacing w:after="0" w:line="180" w:lineRule="exact"/>
        <w:rPr>
          <w:sz w:val="20"/>
          <w:szCs w:val="20"/>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a majority of the holders of Enzon Common Stock approved the 1-for-100 reverse stock split (the “Reverse Stock Split”). On March 24, 2026, Enzon effectuated the Reverse Stock Split pursuant to which every one hundred (100) shares of Enzon’s issued and outstanding common stock were combined into one (1) share of Enzon Common Stock.</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2026, each share of Enzon’s Series C Non-Convertible Redeemable Preferred Stock, par value $0.01 per share (the “Enzon Series C Preferred Stock”) beneficially owned by Icahn Enterprises Holdings L.P. and certain of its affiliates (together, the “IEH Parties”) was exchanged for a number of shares of Enzon Common Stock equal to (i) the aggregate liquidation value of such shares of Enzon Series C Preferred Stock divided by (ii) the Enzon 20-day volume weighted average price of the Enzon Common Stock (the “IEH Share Exchange”). Accordingly, as of March 25, 2026, 5,658,396 shares of Enzon Common Stock were issued the IEH Parties in respect of the 39,277 shares of Enzon Series C Preferred Stock previously held by the IEH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of the Merger, the following occurred:</w:t>
      </w:r>
    </w:p>
    <w:p>
      <w:pPr>
        <w:spacing w:after="0" w:line="225" w:lineRule="exact"/>
        <w:rPr>
          <w:sz w:val="20"/>
          <w:szCs w:val="20"/>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Viskase Companies common stock issued and outstanding immediately prior to the Merger (other than shares held by Viskase Companies as treasury shares), which totaled 160,479,226 shares, was exchanged into the right to receive 0.049118 shares (the “Exchange Ratio”) of Viskase Holdings, Inc. common stock for a total of 7,882,387 shares.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Viskase Companies common stock issued and outstanding and held by Viskase Companies as treasury shares, which totaled 805,270 shares, was automatically cancelled and ceased to exist.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following the IEH Share Exchange, Series C Exchange Offer, and Reverse Stock Split, Enzon had 6,449,233 shares of common stock and 384 shares of Series C preferred stock issued and outstanding. Upon the Closing, these securities continue to reflect 6,449,233 shares of Viskase Holdings, Inc. common stock and 384 shares of Viskase Holdings, Inc. Series C preferred stock,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Closing Date, legacy Viskase Companies shareholders and legacy Enzon shareholders held 55.0% and 45.0% of the voting rights of the Viskase Holdings, Inc. common stock,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shares of Viskase Holdings, Inc. common stock outstanding immediately after the closing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held by legacy Enzon common stockholders following Reverse Stock Split (prior to IEH Share Exchange</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Series C Exchange Offer)</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742,005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IEH Parties subsequent to IEH Share Exchange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5,658,396</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held by non-IEH Parties subsequent to Series C Exchange Offer</w:t>
            </w:r>
          </w:p>
        </w:tc>
        <w:tc>
          <w:tcPr>
            <w:tcW w:w="3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w:t>
            </w:r>
          </w:p>
        </w:tc>
      </w:tr>
      <w:tr>
        <w:trPr>
          <w:trHeight w:val="24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 - Equity consideration issued for acquisition</w:t>
            </w:r>
          </w:p>
        </w:tc>
        <w:tc>
          <w:tcPr>
            <w:tcW w:w="3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6,449,233</w:t>
            </w:r>
          </w:p>
        </w:tc>
      </w:tr>
      <w:tr>
        <w:trPr>
          <w:trHeight w:val="197"/>
        </w:trPr>
        <w:tc>
          <w:tcPr>
            <w:tcW w:w="8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Exchange of shares of Viskase Companies, Inc. common stock for shares of Viskase Holdings, Inc. common stock</w:t>
            </w:r>
          </w:p>
        </w:tc>
        <w:tc>
          <w:tcPr>
            <w:tcW w:w="3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7,882,387</w:t>
            </w: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Viskase Holdings, Inc. common stock</w:t>
            </w:r>
          </w:p>
        </w:tc>
        <w:tc>
          <w:tcPr>
            <w:tcW w:w="3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14,331,620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and not a business combination under ASC 805. Under this method of accounting, Enzon was treated as the acquired company for accounting purposes, whereas Viskase was treated as the accounting acquirer. This determination was primarily based on the fact that subsequent to the Merger, legacy Viskase shareholders have a majority of the voting power of the combined company, legacy Viskase comprises all of the ongoing operations of the combined entity, legacy Viskase comprises a majority of the governing body of the combined company, and legacy Viskase senior management comprises all of the senior management of the combined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this method of accounting, the Merger was treated as the equivalent of Viskase issuing shares for the net assets of Enzon, accompanied by a recapitalization. The net assets of Enzon were stated at historical cost, with no goodwill or other intangible assets recorded, and the operations prior to the Merger are those of Viskase. The shares and net loss per common share of legacy Viskase Companies, prior to the Merger, have been retroactively restated as shares reflecting the Exchange Ratio established in the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recapitalization, the Company obtained the assets and liabilities listed below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capitalize any transaction costs in connection with the Merger.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non-cash transactions associated with the Merger which were excluded from the condensed consolidated statements of cash flows: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For the three</w:t>
            </w:r>
          </w:p>
        </w:tc>
        <w:tc>
          <w:tcPr>
            <w:tcW w:w="0" w:type="dxa"/>
            <w:vAlign w:val="bottom"/>
          </w:tcPr>
          <w:p>
            <w:pPr>
              <w:spacing w:after="0"/>
              <w:rPr>
                <w:sz w:val="1"/>
                <w:szCs w:val="1"/>
                <w:color w:val="auto"/>
              </w:rPr>
            </w:pPr>
          </w:p>
        </w:tc>
      </w:tr>
      <w:tr>
        <w:trPr>
          <w:trHeight w:val="148"/>
        </w:trPr>
        <w:tc>
          <w:tcPr>
            <w:tcW w:w="6620" w:type="dxa"/>
            <w:vAlign w:val="bottom"/>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66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 acquired in connection with the Merger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assumed in connection with the Merger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preferred stock historically outstanding at Enzon that remained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following the Merger</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40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net</w:t>
            </w:r>
          </w:p>
        </w:tc>
        <w:tc>
          <w:tcPr>
            <w:tcW w:w="1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w:t>
            </w: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2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40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0" w:type="dxa"/>
            <w:vAlign w:val="bottom"/>
          </w:tcPr>
          <w:p>
            <w:pPr>
              <w:spacing w:after="0"/>
              <w:rPr>
                <w:sz w:val="1"/>
                <w:szCs w:val="1"/>
                <w:color w:val="auto"/>
              </w:rPr>
            </w:pPr>
          </w:p>
        </w:tc>
      </w:tr>
      <w:tr>
        <w:trPr>
          <w:trHeight w:val="210"/>
        </w:trPr>
        <w:tc>
          <w:tcPr>
            <w:tcW w:w="49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inventories, net</w:t>
            </w:r>
          </w:p>
        </w:tc>
        <w:tc>
          <w:tcPr>
            <w:tcW w:w="17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98,846</w:t>
            </w:r>
          </w:p>
        </w:tc>
        <w:tc>
          <w:tcPr>
            <w:tcW w:w="160" w:type="dxa"/>
            <w:vAlign w:val="bottom"/>
            <w:gridSpan w:val="2"/>
          </w:tcPr>
          <w:p>
            <w:pPr>
              <w:spacing w:after="0"/>
              <w:rPr>
                <w:sz w:val="18"/>
                <w:szCs w:val="18"/>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an inventory reserve of $3,457 and $3,613,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plant and equipment was $3,812 and $5,018 for the three months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37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485,501</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482,326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37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294,271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1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Asset Impairment charges of $ - and $12,100 were recorded for the three months ended March 31, 2026 and 2025, respectively, in association with the closing of the Osceola, Arkansas plant and the removal of assets prior to the end of their useful lives. See Note 16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additional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21,673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18,603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44,283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 Obligations</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(thousands)</w:t>
            </w:r>
          </w:p>
        </w:tc>
        <w:tc>
          <w:tcPr>
            <w:tcW w:w="3620" w:type="dxa"/>
            <w:vAlign w:val="bottom"/>
            <w:gridSpan w:val="12"/>
          </w:tcPr>
          <w:p>
            <w:pPr>
              <w:ind w:left="1200"/>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credit facility</w:t>
            </w:r>
          </w:p>
        </w:tc>
        <w:tc>
          <w:tcPr>
            <w:tcW w:w="14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4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Line of Credit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short term deferred financing costs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4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short-term debt</w:t>
            </w:r>
          </w:p>
        </w:tc>
        <w:tc>
          <w:tcPr>
            <w:tcW w:w="1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credit facility</w:t>
            </w:r>
          </w:p>
        </w:tc>
        <w:tc>
          <w:tcPr>
            <w:tcW w:w="14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long-term deferred financing costs</w:t>
            </w:r>
          </w:p>
        </w:tc>
        <w:tc>
          <w:tcPr>
            <w:tcW w:w="1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(895)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130,834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2020, the Company and certain of its subsidiaries, entered into a certain Credit Agreement (the “Credit Agreement”) with the various lenders named therein and Bank of America, N.A., as administrative agent for the lenders (the “Administrative Agent”), providing for a $150,000 term loan (the “Term Loan”) and a $30,000 revolving credit facility (the “Revolving Credit Facility” and together with the Term Loan, the “Senior Credit Facility”) as amended by the First Amendment to Credit Agreement dated as of August 13, 2021, the Second Amendment to Credit Agreement dated as of August 10, 2022 and as further amended by the Limited Waiver and Third Amendment to Credit Agreement dated as of February 14, 2025 (the “Third Amendment”)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Amendment to the Senior Credit Facility increased the commitment of the New Revolving Credit Facility to $37,000 and transitioned Term Loans on September 30, 2022 and Revolving Loans on August 30, 2022 from LIBOR Loans to SOFR Loans. Amended terms of the facility are stated below.</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Amendment includes a waiver on covenants for the year ended December 31, 2024, and a relief period for year 2025 (the “Covenant Relief Period”). During the Covenant Relief period, the consolidated leverage ratio was increased to 4.00X through December 31, 2025. The consolidated fixed charge coverage ratio was modified to include only maintenance capital expenditures and a year-to-date build basis for quarter end calculation. On December 31, 2025, the consolidated fixed charge coverage ratio returned to an LTM basis. During the Covenant Relief Period, restricted payments, permitted acquisitions and other investments as defined by the Credit Agreement were not allowed and the accordion feature of the credit facility, which allowed for an increase in borrowings under the facility was suspended.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2025, the Company entered into the Fourth Amendment to its Senior Credit Facility. There were no changes to the facility amounts or maturity dates and repayment terms remained largely unchanged except for mandatory prepayments equal to $15,000 upon the closing of the Enzon Merger by December 31, 2025 or $11,250 if after December 31, 2025. The amendment also allows for certain exclusions relative to the merger for its financial covenants and EBIDTA addback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10, 2025, we finalized the fifth amendment to our credit agreement, which modified certain of our financial covenants.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23, 2026, we finalized the sixth amendment to our credit agreement, which includes a waiver on covenants for the year ended December 31, 2025. The Sixth Amendment, among other items, (i) requires Viskase to cooperate with the Administrative Agent’s financial advisor by providing access to Viskase’s facilities, financial information and senior management as required by the financial advisor and to reimburse the Administrative Agent for reasonable costs and fees associated with the engagement of the financial advisor’s services; (ii) subject to exceptions enumerated in the Sixth Amendment, Viskase and certain of its subsidiaries may not incur certain types of indebtedness of an aggregate of more than $100 at any one time; and (iii) Viskase and certain of its subsidiaries may not advance to officers, directors, and employees an aggregate amount greater than $50 at any one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2026, we finalized the Seventh Amendment to our Credit Agreement, which extends the Maturity Date from August 13, 2026 until August 13, 2027, amends the definition of Applicable Rate to increase the interest rate, amends the definition of Consolidated EBITDA to address the treatment of certain restructuring and transaction related costs and expenses, amends the definition of Permitted Transfers to allow the disposition of the equipment, real property and improvements of the Osceola Facility and the real property and improvements of the Chicago Property, and amends certain thresholds for obligations under the Existing Credit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the Amended Senior Credit Facility (other than in respect of Swingline Loans) will be SOFR, but in any event, not less than 0.00%, plus the Applicable Rate (as defined below), or, for U.S. dollar denominated loans only, made to the Company at the option of the Company, the Base Rate, defined as the highest of: (a) the Federal Funds Rate plus one-half percent (0.50%); (b) the Bank of America prime rate; and (c) the one (1) month SOFR (adjusted daily) plus one percent (1.00%), but in any case not less than 1.00%, plus the Applicable Rate. Applicable Rate means, with respect to the Amended Senior Credit Facility, a percentage per annum to be determined in accordance with the applicable pricing grid set forth in the Amended Senior Credit Facility based upon the Company’s Consolidated Coverage Ratio as reflected in a quarterly Compliance Certificate. Each Swingline Loan shall bear interest at the Base Rate plus the Applicable Rate for Base Rate loans under the New Revolving Credit Facility.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our current interest rate is 7.66%. The effective interest rate of the Term Loan as of March 31, 2026 is 9.14%, which is determined in accordance with ASC 310-20-35, based on the variable rate in effect at inception of the instrument.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prepay the Amended Senior Credit Facility, in whole or in part, at any time without premium or penalty, subject to reimbursement of the Lenders’ breakage and redeployment costs in the case of prepayment of SOFR borrowings and foreign currency borrowings bearing interest at a rate other than SOFR. Each such prepayment of the New Term Facility shall be applied as directed by the Company. The unutilized portion of the commitments under the Amended Senior Credit Facility may be irrevocably reduced or terminated by the Company at any time without penalty.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Senior Credit Facility is guaranteed by each existing and future direct and indirect wholly owned material domestic Restricted Subsidiary and foreign Restricted Subsidiary of the Company (other than any Brazilian subsidiary). The Amended Senior Credit Facility is secured by substantially all assets of the Company and its material domestic Restricted Subsidiaries, with the exception of real property.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Senior Credit Facility contains various covenants which restrict the Company’s ability to, among other things, incur indebtedness, create liens on our assets, make investments, enter into merger, consolidation or acquisition transactions, dispose of assets (other than in the ordinary course of business), make certain restricted payments, enter into sale and leaseback transactions and transactions with affiliates, in each case subject to permitted exceptions. The Amended Senior Credit Facility also requires that we comply with certain financial covenants, including meeting a consolidated leverage ratio and consolidated fixed charge coverage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the amended covenants as of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Lines of Credit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foreign operations, the Company has unsecured lines of credit with various banks providing approximately $12,200 of availability. There were borrowings of $11,378 under the lines of credit at March 31, 2026 and borrowings of $11,631 under the lines of credit at December 31, 2025. As of March 31, 2026, our current interest rate is 3.91%. The line of credit is an uncommitted facility that can be terminated at any time with payment on demand.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Maturity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aggregate maturities of debt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each of the next five years are:</w:t>
      </w:r>
    </w:p>
    <w:p>
      <w:pPr>
        <w:spacing w:after="0" w:line="1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2027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2028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2029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2030</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$ 80,625</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aggregate maturities</w:t>
            </w:r>
          </w:p>
        </w:tc>
        <w:tc>
          <w:tcPr>
            <w:tcW w:w="1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$ 80,625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aggregate maturities of debt represent amounts to be paid at maturity and not the current carrying value of the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Retirement Plans</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has contributed $518 and $551 to pension benefits in the U.S. during the three months ended March 31, 2026 and March 31,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have defined contribution and defined benefit plans varying by country and subsidiary.</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Company’s operations in the United States, France, Philippines and Germany historically offered defined benefit retirement plans (“Plan”) to their employees. Most of these benefits have been terminated, resulting in various reductions in liabilities and curtailment gains.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our adoption of FASB issued ASU No. 2017-07, Improving the Presentation of Net Periodic Pension Cost and Net Periodic Postretirement Benefit Cost, the components of net periodic benefit cost other than the service cost component are included in the line item other expense in the income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components of net periodic benefit cost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36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r>
      <w:tr>
        <w:trPr>
          <w:trHeight w:val="149"/>
        </w:trPr>
        <w:tc>
          <w:tcPr>
            <w:tcW w:w="4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 of net period benefit cost</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r>
      <w:tr>
        <w:trPr>
          <w:trHeight w:val="210"/>
        </w:trPr>
        <w:tc>
          <w:tcPr>
            <w:tcW w:w="478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Non U.S. Pension Benefits</w:t>
            </w:r>
          </w:p>
        </w:tc>
      </w:tr>
      <w:tr>
        <w:trPr>
          <w:trHeight w:val="233"/>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4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 of net period benefit cost</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r>
      <w:tr>
        <w:trPr>
          <w:trHeight w:val="209"/>
        </w:trPr>
        <w:tc>
          <w:tcPr>
            <w:tcW w:w="478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also has defined contribution savings and similar plans for eligible employees, which vary by subsidiary. The Company’s aggregate contributions to these plans are based on eligible employee contributions and certain other factors. The Company expenses for these plans for the three months ended March 31, 2026 and March 31, 2025 were approximately $236 and $371, respectively.</w:t>
      </w:r>
    </w:p>
    <w:p>
      <w:pPr>
        <w:sectPr>
          <w:pgSz w:w="11900" w:h="16838" w:orient="portrait"/>
          <w:cols w:equalWidth="0" w:num="1">
            <w:col w:w="9960"/>
          </w:cols>
          <w:pgMar w:left="980" w:top="513" w:right="95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Capital Stock, Treasury Stock and Paid in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Merger, the previously announced Merger between Viskase Companies, Merger Sub, and Enzon, was completed on March 26, 2026. The shares of legacy Viskase Companies, prior to the Merger, have been retroactively restated as shares reflecting the Exchange Ratio established in the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Closing, the Company’s authorized capital stock consists of 170,000,000 shares of common stock, par value $0.01 per share, and 3,000,000 shares of preferred stock, par value $0.01 per share, as provided in the amended and restated certificate of incorporation of Enzon dated July 13, 2010.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384 shares of preferred stock designated as Series C Preferred Stock were issued and outstanding. As of December 31, 2025, no shares of preferred stock were issued and outstanding.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Series C Preferred Stock provide, on an annual basis, that the Board may, at its sole discretion, cause a dividend with respect to the Series C Preferred Stock to be paid in cash to the holders in an amount equal to 3% of the liquidation preference as in effect at such time (initially $1,000 per share). If the dividend is not so paid in cash, the liquidation preference is adjusted and increased annually by an amount equal to 5% of the liquidation preference per share as in effect at such time, that is not paid in cash to the holders on such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able to redeem for cash the Series C Preferred Stock at any time, in whole or in part, for an amount based on the liquidation preference per share as in effect at such time. Additionally, the holders of Series C Preferred Stock have the right to redeem their shares of Series C Preferred Stock for cash at any time, following the Merger, in whole or in part, for an amount based on the liquidation preference per share as in effect at such time. Accordingly, the Series C Preferred Stock has been classified in mezzanine equity on the condensed consolidated balance sheet.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Series C Preferred Stock have no special voting rights and their consent will not be required for taking any corporate 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2004, Viskase Companies purchased 805,270 shares of its common stock from the underwriter for a purchase price of $298. These shares were accounted for as treasury shares. All Viskase Companies treasury shares were cancelled in connection with the Merger and are no longer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14,371,173 and 6,651,652 shares issued and 14,331,620 and 6,612,099 shares outstanding as of March 31, 2026 and December 31, 2025,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subject to the preferential dividend rights of Preferred Stock, if any. As of March 31, 2026 and December 31, 2025, no cash dividends had been declared or paid.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Viskase Companies entered into a securities purchase agreement with an affiliate of Icahn Enterprises L.P. (“IELP”) pursuant to which it issued and sold 25,862,070 shares of its common stock at a purchase price of $0.58 per share, resulting in aggregate cash proceeds of approximately $15,000 of which $13 was recorded within common stock and $14,987 was recorded within paid in capital. The share amount of 25,862,070 has been retroactively adjusted within the condensed consolidated statements of stockholders’ equity to reflect the exchange of Viskase Companies common shares for Viskase Holdings, Inc. common shares at an exchange ratio of 0.049118, resulting in 1,270,288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recorded an income tax expense of $748 on pre-tax loss of $(5,974) compared to an income tax benefit of $1,412 on pre-tax loss of $(15,006) for the three months ended March 31, 2025. Our effective income tax rate was (12.5)% and 9.4% for the three months ended March 31, 2026 and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lower than the statutory federal rate of 21%, for corporations, primarily due to a valuation allowance against US deferred tax assets and the jurisdictional mix of earnings and operating losses expected for the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effective tax rate was lower than the statutory federal rate of 21%, for corporations, primarily due to the jurisdictional mix of earnings and operating losses expected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Related-Party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IELP owned approximately 93.68% and 92.8% of our outstanding common stock,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Private Placement of Common Stock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Viskase entered into a securities purchase agreement with AEP pursuant to which it issued and sold 25,862,070 shares of its common stock at a purchase price of $0.58 per share, resulting in aggregate cash proceeds of approximately $15.0 million. Prior to the completion of this Private Placement, IELP beneficially owned approximately 92.82% of the Company’s outstanding common stock. As a result of these Private Placements, IELP is the beneficial owner of approximately 94.0% of the Company’s outstanding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Liabilities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Equity Private Placement, IELP became the beneficial owner of more than 80% of the shares of our common stock and the Company became subject to the pension liabilities of all entities in which Mr. Icahn has a direct or indirect ownership interest of at least 80%. One such entity, ACF Industries LLC (“ACF”), is the sponsor of several pension plans.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2025, the Executive Committee of ACF approved a resolution to terminate its qualified pension plans, which are frozen and no longer accrues benefits. As of December 31, 2024, the fair value of this plan’s assets exceeded its benefit obligation. The termination of the plan is effective January 31, 2025, is subject to the appropriate regulatory approvals, and is expected to be completed in fiscal year 2026 or early 2027. The ACF LLC ultimate settlement obligation will depend upon both the nature and timing of participant settlements and prevailing market conditions.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Equity Private Placement, the Company entered into an agreement with Icahn Enterprises Holdings L.P. pursuant to which Icahn Enterprises Holdings L.P. has agreed to indemnify us and our subsidiaries from losses resulting from any imposition of certain pension funding or termination liabilities that may be imposed on us and our subsidiaries or our assets as a result of being a member of the Icahn controlled group.</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contingent nature of potential exposure related to these affiliate pension obligations and the indemnification from Icahn Enterprises Holdings L.P., no liability has been recorded in the accompanying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Allocation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equity private placement, IELP became the beneficial owner of more than 80% of the outstanding equity interests of Viskase Companies. Accordingly, Viskase Companies became a member of the consolidated group of IEP Corporate Subsidiary for U.S. federal income tax purposes. As a result, the IEP Corporate Subsidiary and Viskase Companies entered into a tax allocation agreement for the allocation of certain income tax items. Viskase Companies and its subsidiaries consented to join the IEP Corporate Subsidiary’s federal consolidated return and, if elected by the IEP Corporate Subsidiary, certain state consolidated returns. In those jurisdictions where Viskase Companies and its subsidiaries will file consolidated returns with the IEP Corporate Subsidiary, Viskase Companies will pay to the IEP Corporate Subsidiary any tax it would have owed had it and its subsidiaries continued to file as a separate consolidated group. To the extent that the IEP Corporate Subsidiary consolidated group is able to reduce its tax liability as a result of including Viskase Companies and its subsidiaries in its consolidated group, the IEP Corporate Subsidiary will pay Viskase Companies 20% of such reduction on a current basis and Viskase Companies will be treated as if it would carry forward for its own use under the tax allocation agreement, 80% of the items that caused the tax reduction (the “Excess Tax Benefits”). Moreover, if Viskase Companies and its subsidiaries should ever become deconsolidated from the IEP Corporate Subsidiary, the IEP Corporate Subsidiary will reimburse Viskase Companies for any tax liability in post-consolidation years that Viskase Companies and its subsidiaries would have avoided had they actually had the Excess Tax Benefits for their own consolidated group use. The cumulative payments to Viskase Companies by the IEP Corporate Subsidiary post-consolidation will not exceed the cumulative reductions in tax to the IEP Corporate Subsidiary group resulting from the use of the Excess Tax Benefits by the IEP Corporate Subsidiary group.</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IELP has not entered into any tax allocation agreement with Viskase Holdings, Inc., the parent company of Viskase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Segment Information and Geographic Area Information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operating segments as components of the organization for which discrete financial information is available and operating results are evaluated regularly by the Company’s chief executive officer, who is the Chief Operating Decision Maker (“CODM”), in order to assess performance and allocate resources. Characteristics of the Company which were relied upon in making the determination of reportable segments include the geographic region in which the Company operates and the information that is regularly reviewed by the CODM for the purpose of assessing performance and allocating resources.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viewed in geographic regions of North America, South America, EMEA, and Asia which are the Company’s four reportable segments under ASC 280. The primary business of each of the geographic regions is manufacturing and selling cellulosic food casings. The Company’s casing products have similar characteristics and customers and share operations support functions such as sales, public relations, supply chain management, various research and development support, in addition to the general and administrative functions of human resources, legal, finance, and information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Operating Income, which is defined as profit or loss from operations before interest income, interest expense, other expense, net and income taxes, to assess the profitability of each segment. The Company’s reporting package does not include interest revenue, interest expense or income taxes allocated to individual segments and these items are not considered components of segment operating income. The CODM monitors actual Operating Income results relative to operating plan and forecast to assess the performance of the business and allocate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regularly reviewed by the CODM are inclusive only of inventory.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20"/>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South</w:t>
            </w:r>
          </w:p>
        </w:tc>
        <w:tc>
          <w:tcPr>
            <w:tcW w:w="2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Asia</w:t>
            </w:r>
          </w:p>
        </w:tc>
        <w:tc>
          <w:tcPr>
            <w:tcW w:w="920" w:type="dxa"/>
            <w:vAlign w:val="bottom"/>
            <w:gridSpan w:val="6"/>
          </w:tcPr>
          <w:p>
            <w:pPr>
              <w:jc w:val="right"/>
              <w:ind w:right="12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Corporate</w:t>
            </w:r>
          </w:p>
        </w:tc>
        <w:tc>
          <w:tcPr>
            <w:tcW w:w="240" w:type="dxa"/>
            <w:vAlign w:val="bottom"/>
            <w:gridSpan w:val="3"/>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33,899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51,624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 and related expense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20"/>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0"/>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South</w:t>
            </w:r>
          </w:p>
        </w:tc>
        <w:tc>
          <w:tcPr>
            <w:tcW w:w="24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EMEA</w:t>
            </w: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Asia</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America</w:t>
            </w:r>
          </w:p>
        </w:tc>
        <w:tc>
          <w:tcPr>
            <w:tcW w:w="24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880" w:type="dxa"/>
            <w:vAlign w:val="bottom"/>
            <w:gridSpan w:val="11"/>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and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(20,943)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(10,165)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 and related expense</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ind w:right="213"/>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7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reflects the Company’s inventory by segment:</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5"/>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100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r>
      <w:tr>
        <w:trPr>
          <w:trHeight w:val="216"/>
        </w:trPr>
        <w:tc>
          <w:tcPr>
            <w:tcW w:w="10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19,160</w:t>
            </w:r>
          </w:p>
        </w:tc>
      </w:tr>
      <w:tr>
        <w:trPr>
          <w:trHeight w:val="216"/>
        </w:trPr>
        <w:tc>
          <w:tcPr>
            <w:tcW w:w="10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37,767</w:t>
            </w:r>
          </w:p>
        </w:tc>
      </w:tr>
      <w:tr>
        <w:trPr>
          <w:trHeight w:val="216"/>
        </w:trPr>
        <w:tc>
          <w:tcPr>
            <w:tcW w:w="1000" w:type="dxa"/>
            <w:vAlign w:val="bottom"/>
          </w:tcPr>
          <w:p>
            <w:pPr>
              <w:spacing w:after="0"/>
              <w:rPr>
                <w:sz w:val="18"/>
                <w:szCs w:val="18"/>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w:t>
            </w:r>
          </w:p>
        </w:tc>
        <w:tc>
          <w:tcPr>
            <w:tcW w:w="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10"/>
        </w:trPr>
        <w:tc>
          <w:tcPr>
            <w:tcW w:w="1000" w:type="dxa"/>
            <w:vAlign w:val="bottom"/>
          </w:tcPr>
          <w:p>
            <w:pPr>
              <w:spacing w:after="0"/>
              <w:rPr>
                <w:sz w:val="18"/>
                <w:szCs w:val="18"/>
                <w:color w:val="auto"/>
              </w:rPr>
            </w:pPr>
          </w:p>
        </w:tc>
        <w:tc>
          <w:tcPr>
            <w:tcW w:w="4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inventory</w:t>
            </w:r>
          </w:p>
        </w:tc>
        <w:tc>
          <w:tcPr>
            <w:tcW w:w="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98,846</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96,755</w:t>
            </w: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Company’s expenditures for long-lived assets by segment for the three ended March 31, 2026 and 2025:</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1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expenditure for long- lived assets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r>
      <w:tr>
        <w:trPr>
          <w:trHeight w:val="20"/>
        </w:trPr>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long-lived assets by country, which include property and equipment, net, operating lease right-of-use assets, net, and other assets, net, consists of the following:</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4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w:t>
            </w:r>
          </w:p>
        </w:tc>
      </w:tr>
      <w:tr>
        <w:trPr>
          <w:trHeight w:val="209"/>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long-lived assets</w:t>
            </w:r>
          </w:p>
        </w:tc>
        <w:tc>
          <w:tcPr>
            <w:tcW w:w="1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172,424</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171,092</w:t>
            </w: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Comprehensive Income and Changes in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effects allocated to each component of other comprehensive income are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58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Before-</w:t>
            </w:r>
          </w:p>
        </w:tc>
        <w:tc>
          <w:tcPr>
            <w:tcW w:w="20" w:type="dxa"/>
            <w:vAlign w:val="bottom"/>
          </w:tcPr>
          <w:p>
            <w:pPr>
              <w:spacing w:after="0"/>
              <w:rPr>
                <w:sz w:val="13"/>
                <w:szCs w:val="13"/>
                <w:color w:val="auto"/>
              </w:rPr>
            </w:pPr>
          </w:p>
        </w:tc>
        <w:tc>
          <w:tcPr>
            <w:tcW w:w="36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Net-of-</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2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or Benefit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vMerge w:val="continue"/>
          </w:tcPr>
          <w:p>
            <w:pPr>
              <w:spacing w:after="0"/>
              <w:rPr>
                <w:sz w:val="15"/>
                <w:szCs w:val="15"/>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980" w:type="dxa"/>
            <w:vAlign w:val="bottom"/>
          </w:tcPr>
          <w:p>
            <w:pPr>
              <w:ind w:left="58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Before-</w:t>
            </w:r>
          </w:p>
        </w:tc>
        <w:tc>
          <w:tcPr>
            <w:tcW w:w="20" w:type="dxa"/>
            <w:vAlign w:val="bottom"/>
          </w:tcPr>
          <w:p>
            <w:pPr>
              <w:spacing w:after="0"/>
              <w:rPr>
                <w:sz w:val="24"/>
                <w:szCs w:val="24"/>
                <w:color w:val="auto"/>
              </w:rPr>
            </w:pPr>
          </w:p>
        </w:tc>
        <w:tc>
          <w:tcPr>
            <w:tcW w:w="3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Net-of-</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or Benefit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consist of the following:</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80" w:type="dxa"/>
            <w:vAlign w:val="bottom"/>
          </w:tcPr>
          <w:p>
            <w:pPr>
              <w:ind w:left="5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 w:type="dxa"/>
            <w:vAlign w:val="bottom"/>
          </w:tcPr>
          <w:p>
            <w:pPr>
              <w:spacing w:after="0"/>
              <w:rPr>
                <w:sz w:val="24"/>
                <w:szCs w:val="24"/>
                <w:color w:val="auto"/>
              </w:rPr>
            </w:pPr>
          </w:p>
        </w:tc>
        <w:tc>
          <w:tcPr>
            <w:tcW w:w="3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Benefits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4"/>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accumulated other</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4"/>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to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980" w:type="dxa"/>
            <w:vAlign w:val="bottom"/>
          </w:tcPr>
          <w:p>
            <w:pPr>
              <w:ind w:left="5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 w:type="dxa"/>
            <w:vAlign w:val="bottom"/>
          </w:tcPr>
          <w:p>
            <w:pPr>
              <w:spacing w:after="0"/>
              <w:rPr>
                <w:sz w:val="24"/>
                <w:szCs w:val="24"/>
                <w:color w:val="auto"/>
              </w:rPr>
            </w:pPr>
          </w:p>
        </w:tc>
        <w:tc>
          <w:tcPr>
            <w:tcW w:w="3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Benefits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accumulated other</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to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Variable Interest Entity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holds a variable interest in a joint venture for which the Company is the primary beneficiary, the joint venture, VE Netting, LLC.</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amount of the VIEs’ assets and liabilities included in the Company’s Consolidated Balance Sheets as of March 31,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ind w:left="67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net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Liabilites</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 Equity</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assets in the above table can only be used to settle obligations of the consolidated VIE. Liabilities are nonrecourse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presented in the table above are adjusted for intercompany eliminations.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Statement of Operations of the VIE included in the Company’s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2026 and March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ind w:left="67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Net Earnings (Loss) Per Share</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Basic and diluted net (loss) income per share attributable to common stockholders was calculated as follows (dollar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Dividends on Series C Preferred Stock</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(6,689)</w:t>
            </w:r>
          </w:p>
        </w:tc>
        <w:tc>
          <w:tcPr>
            <w:tcW w:w="2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7,931,249</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basic and diluted</w:t>
            </w: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2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Restructuring</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March 26, 2025, the Company announced that it would cease production at the Osceola, Arkansas facility effective May 31, 2025 (the “2025 Plant Closure Program”). In connection with the plant closure, 210 employees were separated under the separation plan resulting in severance of approximately $4,600 included in the restructuring and related costs for the year ended December 31, 2025. The plant closure resulted in an impairment of $9,600 related to the property, plant and equipment and $2,500 related to inventory which are recorded as Asset impairment charge in the condensed consolidated statement of operations for the three months ended March 31, 2025.</w:t>
      </w:r>
    </w:p>
    <w:p>
      <w:pPr>
        <w:spacing w:after="0" w:line="183"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Restructuring and related expense consists of the following in the condensed consolidated statements of operations for the three months ended March 31, 2026 and 2025,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2780" w:type="dxa"/>
            <w:vAlign w:val="bottom"/>
            <w:gridSpan w:val="3"/>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personnel costs</w:t>
            </w: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 and disposal costs and professional fees</w:t>
            </w:r>
          </w:p>
        </w:tc>
        <w:tc>
          <w:tcPr>
            <w:tcW w:w="26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activities as of March 31, 2026 and December 31, 2025: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780" w:type="dxa"/>
            <w:vAlign w:val="bottom"/>
            <w:gridSpan w:val="3"/>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20" w:type="dxa"/>
            <w:vAlign w:val="bottom"/>
            <w:vMerge w:val="restart"/>
          </w:tcPr>
          <w:p>
            <w:pPr>
              <w:jc w:val="right"/>
              <w:ind w:right="1682"/>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continue to review our global businesses and may take additional restructuring actions where a path to sustained profitability is not feasible when considering the capital allocation required for those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product line: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ind w:left="68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by product line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Nojax</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52,113</w:t>
            </w: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Fibrous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Large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Plastic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Traded Goods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6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“Viskase,” the “Company,” “we,” “us,” or “our” and similar terms mean Viskase Holdings, Inc. and its subsidiaries. The discussion below may contain forward-looking statements that reflect our plans, estimates and beliefs. Our actual results could differ materially from those discussed in these forward-looking statements as a result of many factors, including but not limited to those under the heading “Forward-Looking Information and Factors that May Affect Future Results.”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Viskase’s financial condition and results of operations together with Viskase’s audited financial statements for the year ended December 31, 2025, together with related notes thereto, included in Amendment No. 1 to the Company’s Current Report on Form 8-K filed with the Securities and Exchange Commission (the “SEC”) on May 1, 2026. The discussion and analysis should also be read together with (i) the section titled “Information about Viskase’s Business” in the prospectus/consent solicitation statement/offer to exchange filed by the Company with the SEC on January 30, 2026, (ii) our consolidated financial statements and notes to those statements included elsewhere in this Quarterly Report on Form 10-Q and (iii) our 2025 Annual Report on Form 10-K,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Viskase Holdings, Inc., previously known as Enzon Pharmaceuticals, Inc., is a Delaware corporation organized in 1970. Viskase, together with its subsidiaries, including Viskase Companies, operates in the casing product segment of the food industry. Viskase is a worldwide leader in the production and sale of cellulosic, fibrous and plastic casings for the processed meat and poultry industry. Viskase currently operates eight significant manufacturing facilities throughout North America, Europe, South America and Asia. Viskase provides value-added support services relating to these products for some of the world’s largest global consumer products companies. Viskase is one of the two largest worldwide producers of non-edible cellulosic casings for processed meats and one of the three largest manufacturers of non-edible fibrous casings.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Viskase’s net sales are driven by consumer demand for meat products and the level of demand for casings by processed meat manufacturers, as well as the average selling prices of Viskase’s casings. Specifically, demand for Viskase’s casings is dependent on population growth, overall consumption of processed meats and the types of meat products purchased by consumers. Average selling prices are dependent on overall supply and demand for casings and Viskase’s product mix.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Viskase’s cellulose, fibrous and plastic casing extrusion operations are capital-intensive and are characterized by high fixed costs. Viskase’s finishing operations are labor intensive. The industry’s operating results have historically been sensitive to the global balance of capacity and demand. The industry’s extrusion facilities produce casings under a timed chemical process and operate continuously.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Viskase’s gross profit varies with changes in selling price, input material costs, labor costs and manufacturing efficiencies. The total contribution margin increases as demand for Viskase’s casings increases. Viskase’s financial results benefit from increased volume because Viskase does not have to increase its fixed cost structure in proportion to increases in demand. For certain products, Viskase operates at near capacity in its existing facilities. Viskase regularly evaluates its capacity and projected market demand. Viskase believes the current and planned cellulosic production capacity in Viskase’s industry is in balance with global demand.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Viskase’s business strategy is to continue to improve operational efficiencies, product quality and throughput by upgrading existing production facilities and adding resources in high growth markets through new capital investments. Viskase has been successful in implementing production cost-savings initiatives and will continue to pursue similar opportunities that enhance its profitability and competitive positioning as a leader in the casing market. Viskase is focused on reducing extrusion, shirring and printing waste through equipment upgrades and an ongoing effort to redefine product mix. In addition, Viskase seeks entry into new value-added lines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2025, the Company entered into an Agreement and Plan of Merger (“Merger Agreement”) that was amended on October 23, 2025, by and between Enzon Pharmaceuticals, Inc. (which is now known as Viskase Holdings, Inc.), Viskase Companies, Inc. (which was converted into a limited liability company following the Merger and is now known as Viskase Companies, LLC (“Viskase Companies”), and EPSC Acquisition Corp. (“EPSC”). Pursuant to the terms of the Merger Agreement, EPSC was merged with and into Viskase Companies, with Viskase Companies surviving the merger as a wholly owned subsidiary of the Company (the “Merger”).</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Immediately following the Merger, Viskase Companies converted into a limited liability company under Delaware law, and the Company changed its name from “Enzon Pharmaceuticals, Inc.” to “Viskase Holdings, Inc.” References herein to the Company refer to Viskase Holdings, Inc., which operates it business through its subsidiaries, including Viskase Companies.</w:t>
      </w:r>
    </w:p>
    <w:p>
      <w:pPr>
        <w:spacing w:after="0" w:line="176"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connection the transactions contemplated by the Merger Agreement, prior to the completion of the Merger, Icahn Enterprises Holdings L.P. and certain of its affiliates (together, the “IEH Parties”) agreed to exchange the shares of the Company’s Series C Non-Convertible Redeemable Preferred Stock, par value $0.01 per share (the “Series C Preferred Stock”), held by them into shares of the Company’s common stock (the “IEH Exchange”), pursuant to the terms of a support agreement entered into between the Company, Viskase Companies, and the IEH Parties on June 20, 2025 and amended on October 23, 2025 (the “Support Agreement”). In addition, certain holders of the Series C Preferred Stock other than the IEH Parties exchanged their shares of Series C Preferred Stock for shares of the Company’s common stock pursuant to the terms of an exchange offer conducted by the Company (the “Series C Exchange Offer”).</w:t>
      </w:r>
    </w:p>
    <w:p>
      <w:pPr>
        <w:spacing w:after="0" w:line="18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On March 26, 2026 (the “Closing Date”), the Company consummated the Merger Agreement and, as a result, Viskase Companies became a wholly owned subsidiary of Viskase Holdings. Pursuant to the terms of the Merger Agreement, holders of Viskase Companies’ common stock were entitled to receive shares of the common stock of the Company as consideration for the Merger. Accordingly, all of the issued and outstanding shares of common stock of Viskase Companies were cancelled and exchanged for the right to receive the merger consideration, which consisted of shares of the Company’s common stock. As a result of the Merger, Viskase Companies became a wholly owned subsidiary of Viskase Holdings. However, for financial reporting purposes, Viskase Companies is deemed to be the accounting acquirer in the Merger.</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net assets of Viskase Holdings (formerly Enzon Pharmaceuticals, Inc.) as of the Closing Date are stated at historical cost, with no goodwill or other intangible assets recorded, and the operations following the completion of the Merger are those of Viskase Companies and its subsidiaries. Upon closing of the Merger, Viskase Holdings had approximately $40.8 million in cash. As a result of the completion of the Merger, the business and operations conducted by the Company are those that were conducted by Viskase Companies prior to the completion of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Restructuring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Restructuring Plan – Arkansas Plant Closure</w:t>
      </w:r>
    </w:p>
    <w:p>
      <w:pPr>
        <w:spacing w:after="0" w:line="22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On March 26, 2025, the Company announced that it would cease production at its Osceola, Arkansas facility effective as of May 31, 2025 (the “2025 Plant Closure Program”), which is part of the 2025 Restructuring Plan. In connection with the plant closure, 210 employees were separated under the Company’s separation plan resulting in severance of approximately $4,600 included in the restructuring and related costs for the year ended December 31, 2025. The plant closure resulted in an impairment of $9,600 related to the property, plant and equipment and $7,059 related to inventory which are recorded as an asset impairment charge in the condensed consolidated statement of operations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charges related to the 2025 Restructuring Plan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Three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8"/>
        </w:trPr>
        <w:tc>
          <w:tcPr>
            <w:tcW w:w="7100" w:type="dxa"/>
            <w:vAlign w:val="bottom"/>
            <w:vMerge w:val="restart"/>
          </w:tcPr>
          <w:p>
            <w:pPr>
              <w:ind w:left="69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38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restructuring charges: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other personnel costs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and disposal costs and professional fees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Write-offs of inventory due to restructuring plan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non-cash charges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2025 Restructuring Plan, the Company does not expect that it will incur any significant additional cash charges during the remainder of 2026. The Company does not anticipate these cost-saving measures will impair its ability to conduct any of its key business functions. However, the Company may not be able to realize the cost savings and benefits initially anticipated as a result of the 2025 Restructuring Plan.</w:t>
      </w:r>
    </w:p>
    <w:p>
      <w:pPr>
        <w:sectPr>
          <w:pgSz w:w="11900" w:h="16838" w:orient="portrait"/>
          <w:cols w:equalWidth="0" w:num="1">
            <w:col w:w="9960"/>
          </w:cols>
          <w:pgMar w:left="980" w:top="513" w:right="95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General Economic Risk Factors on our Business and Operations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Viskase is subject to continuing risks and uncertainties in connection with, and as a result of, the current geopolitical and economic uncertainty, including increases in inflation, risk of economic slowdown, fluctuating interest rates, new or increased tariffs and other barriers to trade, supply chain disruptions, changes to fiscal and monetary policy or government budget dynamics (particularly in the product segment of the food industry), volatility in financial markets, elevated energy and commodity prices, potential government shut downs, and war, military conflicts and/or hostilities, including the ongoing conflicts between Russia and Ukraine and regional hostilities in the Middle East and the responses thereto. While we are closely monitoring the impact of the current macroeconomic and geopolitical conditions on all aspects of our business, the ultimate extent of the impact on our business remains highly uncertain and will depend on future developments and factors that continue to evolve. Most of these developments and factors are outside of our control and could exist for an extended period of time, and could have material adverse effects on our business, results of operations, financial condition, and liquidity, including through increased input costs, disrupted supply chains, reduced consumer demand, tighter financial conditions, and impaired access to capital markets. We will continue to evaluate the nature and extent of the potential impacts to its business, results of operations, liquidity and capital resources. For additional information, see the section titled “</w:t>
      </w:r>
      <w:r>
        <w:rPr>
          <w:rFonts w:ascii="Times New Roman" w:cs="Times New Roman" w:eastAsia="Times New Roman" w:hAnsi="Times New Roman"/>
          <w:sz w:val="18"/>
          <w:szCs w:val="18"/>
          <w:i w:val="1"/>
          <w:iCs w:val="1"/>
          <w:color w:val="auto"/>
        </w:rPr>
        <w:t>Risk Factors — Risk Factors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Viskase’s Business</w:t>
      </w:r>
      <w:r>
        <w:rPr>
          <w:rFonts w:ascii="Times New Roman" w:cs="Times New Roman" w:eastAsia="Times New Roman" w:hAnsi="Times New Roman"/>
          <w:sz w:val="18"/>
          <w:szCs w:val="18"/>
          <w:color w:val="auto"/>
        </w:rPr>
        <w:t>” in the prospectus/consent solicitation statement/offer to exchange filed by the Company with the SEC on January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Viskase generates net sales from sales of its products, including cellulosic, fibrous and plastic casings for the processed meat and poultry industry. Viskase serves the majority of its natural channel customers through meat manufacturers, which purchase, store, sell and deliver Viskase’s products to consumers.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Viskase periodically offers promotional incentives to its customers, including customer rebates, temporary price reductions, off-invoice discounts, and other trade activities. At the end of each accounting period, Viskase recognizes a liability for an estimated promotional allowance reserve. Viskase periodically provides credits or discounts to its customers in the event that products do not conform to customer expectations upon delivery. Viskase treats these credits and discounts as a reduction of the sales price of the related transaction at the time of sale. Viskase anticipates that these promotional activities, credits and discounts could materially impact Viskase’s net revenue and that changes in such activities could impact period-over-period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Viskase’s casings are sold to customers at a premium price point, and when prices for competitor casings fall relative to the price of Viskase’s casings (including due to any price increases Viskase may implement), price-sensitive customers may choose to purchase casings offered by Viskase’s competitors instead of Viskase’s products. As a result, competitor pricing may adversely affect Viskase’s net revenue. Net revenue may also vary from period to period depending on the purchase orders Viskase receives, the volume and mix of Viskase’s products sold, and the channels through which Viskase’s products are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sales consists of the costs directly attributable to producing Viskase’s products, which include labor, raw material and packaging costs as well as overhead. The labor cost is comprised of wages and related costs for Viskase’s processing of crew members. The raw material is comprised of those items necessary to process Viskase’s finished casing products and the packaging costs are the cost of the packaging materials in which Viskase’s finished products are sold. Overhead costs in cost of goods sold include utilities, insurance, inbound freight, storage fees related to Viskase’s manufacturing facilities and depreciation and amortization expenses related to Viskase’s assets used in production.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Viskase’s operating expenses consist of selling, general and administrative expenses, amortization of intangibles, asset impairment expense, and restructuring and related expense, as further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expenses, including recruiting costs, salaries, bonuses, benefits, and equity-based compensation, for individuals in Viskase’s executive, finance, operations, human resources, business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other administrative functions. Other selling, general and administrative expenses include legal fees relating to corporate matters and patent-related activities, insurance costs, information technology, and professional and consulting fees associated with accounting, audit, tax and investor and public relations. Viskase expects selling, general and administrative expenses to increase in the future in connection with the expansion of the business and increased marketing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Shipping and distribution expenses consist primarily of costs related to third-party freight for Viskase’s products. Viskase expects shipping and distribution expenses to increase in the medium-to-long term as Viskase continues to scale its business, and there is a risk that such expenses could continue to increase due to the dynamic and evolving global geopolitical and economic environment.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Viskase has recognized definite lived intangible assets for customer relationships, technologies, patents, trademarks, and in-place leases. Amortization of these intangibles are recognized on a straight-line basis over the respective estimated useful lives on the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its 2025 Restructuring Plan, Viskase took measures to close certain of its manufacturing facilities, resulting in asset impairment charges on its machinery in each respective location. These asset impairment charges are recorded as “asset impairment expense” within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Related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costs incurred related to the 2025 Restructuring Plan, including transfer and disposal costs, professional fees, severance and other personnel costs, and capital expenditures were recorded as “restructuring and related expense” within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Viskase’s non-operating expenses interest expense, net and other income (expense), net, as further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Viskase records interest expense on its long-term debt based on the terms within its Credit Agreement, as further discussed and defined below with “Amended Senior Credit Facility.” This interest expense is partially offset by interest income earned on cash and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primarily relates to foreign currency gains and losses and the expense related to the reversal of a receivable for an uncertain tax with offset running through the “income tax provision” within the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Viskase determines its effective tax rate by estimating its permanent differences resulting from differing treatment of items for financial and income tax purposes. Viskase is periodically audited by taxing authorities and considers any adjustments made as a result of the audits in computing its income tax expense. Any audit adjustments affecting permanent differences could have an impact on Viskase’s effective tax 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taxes relate primarily to depreciation expense and share-based compensation programs accounted for differently for financial and income tax purposes. Changes in tax laws and rates could materially affect recorded deferred tax assets and liabilities in the future. Valuation allowances are recorded when it is more likely than not that a tax benefit will not be realized for a deferred tax asset. Changes in projected future earnings could affect Viskase’s recorded valuation allowances, if any, in the future.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Viskase records unrecognized tax benefit liabilities for known or anticipated tax issues for which the benefit is more likely than not based on its analysis of whether, and the extent to which, additional taxes will be due. However, due to the complexity of some of these uncertainties, the ultimate resolution may result in a payment that is materially different from the current estimate of the tax liabilities.To the extent Viskase prevails in matters for which unrecognized tax benefit liabilities have been established or are required to pay amounts in excess of its recorded liability, Viskase’s effective tax rate in a given financial statement period could be materially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March 31, 2026 and 2025</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Viskase’s annual condensed consolidated statement of operations for the periods presented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ind w:left="5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360" w:type="dxa"/>
            <w:vAlign w:val="bottom"/>
            <w:gridSpan w:val="2"/>
            <w:vMerge w:val="continue"/>
          </w:tcPr>
          <w:p>
            <w:pPr>
              <w:spacing w:after="0"/>
              <w:rPr>
                <w:sz w:val="15"/>
                <w:szCs w:val="15"/>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3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provision</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sales decreased by approximately $7.7 million, or (8.1)%, to $86.5 million for the three months ended March 31, 2026, compared to $94.2 million for the three months ended March 31, 2025. The decrease in net sales was primarily driven by volume-related decreases of approximately $13.0 million, partially offset by price and product mix-related increases of approximately $1.0 million and a favorable foreign currency impact of $4.3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segment revenues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18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60" w:type="dxa"/>
            <w:vAlign w:val="bottom"/>
          </w:tcPr>
          <w:p>
            <w:pPr>
              <w:spacing w:after="0"/>
              <w:rPr>
                <w:sz w:val="10"/>
                <w:szCs w:val="10"/>
                <w:color w:val="auto"/>
              </w:rPr>
            </w:pPr>
          </w:p>
        </w:tc>
        <w:tc>
          <w:tcPr>
            <w:tcW w:w="9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Corporate 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Three months Ended March 31,</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51,624</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(20,841)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March 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Change </w:t>
            </w: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(16,820)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Change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20.5 %</w:t>
            </w: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decrease in North America nets sales of $16.8 million is mainly due to reduced sales volume resulting from a temporary production capacity issue related to the 2025 restructuring plan, offset by an increase in selling price. EMEA nets sales has increased $10.6 million due to $6 million of intercompany sales volume and $4 million of increased customer sales mainly driven by foreign currency translation. Asia net sales decreased $1.5 million due to sales volume.</w:t>
      </w:r>
    </w:p>
    <w:p>
      <w:pPr>
        <w:sectPr>
          <w:pgSz w:w="11900" w:h="16838" w:orient="portrait"/>
          <w:cols w:equalWidth="0" w:num="1">
            <w:col w:w="9960"/>
          </w:cols>
          <w:pgMar w:left="980" w:top="513" w:right="95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sales decreased by approximately $2.2 million or (2.8)% to $77.5 million for the three months ended March 31, 2026, compared to $79.8 million for the three months ended March 31, 2025. The decrease in cost of sales was primarily driven by lower volumes of product sold due to temporary capacity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decreased by approximately $5.4 million, or (37.5)%, to $9.0 million for the three months ended March 31, 2026, compared to $14.4 million for the three months ended March 31, 2025. The decrease in gross margin was primarily driven by lower volumes of product sold due to temporary capacity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approximately $0.7 million, or 6.3 %, to $12.4 million for the three months ended March 31, 2026, compared to $11.7 million for the three months ended March 31, 2025. The increase was primarily driven by higher year over year professional fees and payroll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totaled approximately $0.5 million for the three months ended March 31, 2026 and 2025 on the amortization of intangible assets recognized with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Related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and related expense totaled approximately $0.4 million for the three months ended March 31, 2026, compared to an expense of $4.7 million for the three months ended March 31, 2025. See the discussion in the Restructuring Plan section above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from operations totaled approximately $4.3 million for the three months ended March 31, 2026, compared to $14.4 million for the three months ended March 31, 2025. The decrease in operating loss of $10.1 million or (69.9)% was primarily driven by asset impairment expense of $12.1 million recorded in during the same period in prior year, partially offset by lower year over year gross margin during the three months ended March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segment operating income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5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North America ​​​</w:t>
            </w:r>
          </w:p>
        </w:tc>
        <w:tc>
          <w:tcPr>
            <w:tcW w:w="1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Asia</w:t>
            </w:r>
          </w:p>
        </w:tc>
        <w:tc>
          <w:tcPr>
            <w:tcW w:w="3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639</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(17,597)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594</w:t>
            </w:r>
          </w:p>
        </w:tc>
        <w:tc>
          <w:tcPr>
            <w:tcW w:w="240" w:type="dxa"/>
            <w:vAlign w:val="bottom"/>
          </w:tcPr>
          <w:p>
            <w:pPr>
              <w:spacing w:after="0"/>
              <w:rPr>
                <w:sz w:val="20"/>
                <w:szCs w:val="20"/>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Change </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Change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(203.2)%</w:t>
            </w:r>
          </w:p>
        </w:tc>
        <w:tc>
          <w:tcPr>
            <w:tcW w:w="3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7.0 %</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operating income has improved $11.8 million due to lower asset impairment and restructuring expense of $16.4 million offset by a decrease in gross profit due to lower sales volume. EMEA operating income is lower by $1.6 million compared to March 31, 2025 due to lower gross profit on sales mix and inflation on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of interest income totaled approximately $2.8 million for the three months ended March 31, 2026 and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totaled approximately $1.2 million for the three months ended March 31, 2026, compared to approximately $2.2 million for the three months ended March 31, 2025. The decrease was primarily driven by foreign currency gains or losses recognized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 income tax provision of approximately $0.7 million was recognized on the loss before income taxes of $6.0 million compared to an income tax benefit of approximately $1.4 million for the three months ended March 31, 2025 on loss before income taxes of $15.0 million. Our effective income tax rate was (12.5)% and 9.4 % for the three months ended March 31, 2026 and 2025,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lower than the statutory federal rate of 21%, for corporations, primarily due to a valuation allowance against US deferred tax assets and the jurisdictional mix of earnings and operating losses expected for the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effective tax rate was lower than the statutory federal rate of 21%, for corporations, primarily due to the jurisdictional mix of earnings and operating losses expected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Viskase’s primary sources of liquidity are net cash provided by operating activities and available borrowing capacity under its Amended Senior Credit Facility and Foreign Lines of Credit (as further discussed and defined below). As of March 31, 2026, Viskase had approximately $28.6 million of cash and cash equivalents and approximately $5.8 million of unused borrowing capacity under the Amended Senior Credit Facility, net of letters of credit.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2026, we finalized the Seventh Amendment to our Credit Agreement, which extends the Maturity Date from August 13, 2026 until August 13, 2027, amends the definition of Applicable Rate to increase the interest rate, amends the definition of Consolidated EBITDA to address the treatment of certain restructuring and transaction related costs and expenses, amends the definition of Permitted Transfers to allow the disposition of the equipment, real property and improvements of the Osceola Facility and the real property and improvements of the Chicago Property, and amends certain thresholds for obligations under the Existing Credit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primary uses of cash are for our operations, capital expenditures, and debt service. We believe that net cash generated from operating activities, cash on hand, and available borrowings under its Amended Senior Credit Facility will be adequate to meet Viskase’s liquidity and capital requirements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assessment of liquidity and going concern requires us to make judgments about its ability to meet its obligations as they fall due for at least one year after the date that its condensed consolidated financial statements for the three months ended March 31, 2026 are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are prepared using accounting principles generally accepted in the United States of America applicable to a going concern which contemplates the realization of assets and liquidation of liabilities in the normal course of business.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of the Company to continue as a going concern is dependent on the Company obtaining adequate refinancing of its Senior Credit Facility before its maturity in August 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fully expect the refinancing will be completed before the maturity of Senior Credit Facility. However, there is no assurance that the Company will be able to obtain sufficient additional funds to refinance these maturities or that such funds, if available, will be obtainable on terms satisfactory to the Company, and therefore substantial doubt exists about the Company’s ability to continue as a going concern.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that might result from the Company being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Comparison of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Viskase’s cash flows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120" w:type="dxa"/>
            <w:vAlign w:val="bottom"/>
            <w:vMerge w:val="restart"/>
          </w:tcPr>
          <w:p>
            <w:pPr>
              <w:ind w:left="69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1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38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March</w:t>
            </w:r>
          </w:p>
        </w:tc>
        <w:tc>
          <w:tcPr>
            <w:tcW w:w="0" w:type="dxa"/>
            <w:vAlign w:val="bottom"/>
          </w:tcPr>
          <w:p>
            <w:pPr>
              <w:spacing w:after="0"/>
              <w:rPr>
                <w:sz w:val="1"/>
                <w:szCs w:val="1"/>
                <w:color w:val="auto"/>
              </w:rPr>
            </w:pPr>
          </w:p>
        </w:tc>
      </w:tr>
      <w:tr>
        <w:trPr>
          <w:trHeight w:val="173"/>
        </w:trPr>
        <w:tc>
          <w:tcPr>
            <w:tcW w:w="7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380" w:type="dxa"/>
            <w:vAlign w:val="bottom"/>
            <w:gridSpan w:val="2"/>
            <w:vMerge w:val="continue"/>
          </w:tcPr>
          <w:p>
            <w:pPr>
              <w:spacing w:after="0"/>
              <w:rPr>
                <w:sz w:val="15"/>
                <w:szCs w:val="15"/>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Viskase’s operating cash flow is primarily driven by Viskase’s earnings and changes in operating assets and liabilities, such as accounts receivable, inventories, accounts payable and other accrued liabilities, as well as other factors described below. Cash requirements for operating activities are subject to Viskase’s operating needs and the timing of collection of receivables and payments of payables and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approximately $16.3 million, compared to net cash provided by operating activities of approximately $0.1 million for the three months ended March 31, 2025. The decrease was primarily attributable to increases in receivables, inventories, and other current assets, as well as a decrease in accounts payable during the three months ended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was approximately $8.9 million, compared to $7.4 million for the three months ended March 31, 2025, representing an increase of $1.5 million. The increase was primarily attributable to higher capital expenditures related to manufacturing facilities and production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$44.8 million for the three months ended March 31, 2026, compared to $7.2 million for the three months ended March 31, 2025, representing an increase of $37.6 million. The increase was primarily attributable to $40.9 million of cash acquired in connection with the Enzon reverse recapitalization transaction and $15.0 million of proceeds from a private placement of common stock, partially offset by $10.6 million of repayments of short-term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See Note 1, “Summary of significant accounting policies”, to our interim unaudited condensed consolidated financial statements included elsewhere in this Quarterly Report on Form 10-Q for a description of recent accounting pronouncements, if any, including the expected dates of adoption and the anticipated impact on our unaudited condensed consolidated and audited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Viskase did not have any off-balance sheet arrangements that have, or are reasonably likely to have, a material effect on its current and future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material changes in our judgments and assumptions associated with the development of our critical accounting estimates during the period ended March 31, 2026. Refer to our audited financial statements for the year ended December 31, 2025, together with related notes thereto, included in Amendment No. 1 to the Company’s Current Report on Form 8-K filed with the SEC on May 1, 2026 for a discussion of our critical accounting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and Factors That May Affect Future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discussion may be considered forward-looking statements within the meaning of the U.S. Private Securities Litigation Reform Act of 1995.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These and other forward-looking statements are not guarantees of future results and are subject to risks, uncertainties and assumptions that could cause actual results to differ materially from those expressed in any forward-looking statements, including, without limitation, those that are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prospectus/consent solicitation statement/offer to exchange filed by the Company with the SEC on January 30, 2026. These risks and uncertainties should be considered carefully and readers are cautioned not to place undue reliance on such forward-looking statements. As such, Viskase cannot assure you that the future results covered by the forward-looking statements will be achieved. Forward-looking statements may relate to, among other things:</w:t>
      </w:r>
    </w:p>
    <w:p>
      <w:pPr>
        <w:spacing w:after="0" w:line="19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liquidity requirements and to fund necessary capital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demand for our products, prices for our products and changes in overall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market and industry conditions and changes in the relative market shares of industry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 patterns and consumer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competitor responses to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operating improvements and anticipated cost savings;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and regulatory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their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raw materials and changes in energy prices or other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compliance with environmental laws and other governmental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for future periods;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and our intentions with respect to the payment of, dividends on shares of our capital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conditions affecting our customers and suppliers;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acquisitions, including the Company’s business combination with Viskase Companies, pursuant to which Viskase Companies became a wholly owned subsidiary of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for the future, including opportunities that may be presented to and/or pursued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utilize its net operating losses and tax credit carryforwards;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or seek an exemption to, the 10% public float requirements for the OTCQB market of the OTC Markets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Inc.</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Forward-looking statements are based on management’s expectations that involve risks and uncertainties.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ensure that information required to be disclosed by us in reports filed or submitted under the Securities Exchange Act of 1934 is recorded, processed, summarized and reported within the time periods specified in the rules and forms of the Securities and Exchange Commission, and that such information is accumulated and communicated to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of March 31, 2026. Based on this evaluation, our Chief Executive Officer and Chief Financial Officer concluded that our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ended March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arise in the ordinary course of business. The ultimate outcome of these matters is inherently uncertain, and there can be no assurance that their resolution will not have a material adverse effect on the company’s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 required by Item 601 of Regulation S-K.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320" w:type="dxa"/>
            <w:vAlign w:val="bottom"/>
            <w:gridSpan w:val="1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1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69"/>
        </w:trPr>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2.1**</w:t>
            </w:r>
          </w:p>
        </w:tc>
        <w:tc>
          <w:tcPr>
            <w:tcW w:w="240" w:type="dxa"/>
            <w:vAlign w:val="bottom"/>
          </w:tcPr>
          <w:p>
            <w:pPr>
              <w:spacing w:after="0"/>
              <w:rPr>
                <w:sz w:val="14"/>
                <w:szCs w:val="14"/>
                <w:color w:val="auto"/>
              </w:rPr>
            </w:pPr>
          </w:p>
        </w:tc>
        <w:tc>
          <w:tcPr>
            <w:tcW w:w="754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Agreement and Plan of Merger, dated as of June 20, 2025, by and between Enzon Pharmaceuticals, Inc.,</w:t>
              </w:r>
            </w:hyperlink>
          </w:p>
        </w:tc>
        <w:tc>
          <w:tcPr>
            <w:tcW w:w="24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EPSC Acquisition Corp. and Viskase Companies, Inc.</w:t>
              </w:r>
            </w:hyperlink>
          </w:p>
        </w:tc>
        <w:tc>
          <w:tcPr>
            <w:tcW w:w="364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Certificate of Incorporation dated May 18, 2006, together with that Certificate</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of Amendment to the Amended and Restated Certificate of Incorporation dated July 13, 2010.</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Second Amended and Restated By-Laws effective March 11, 2011, as amended by Amendment No. 1 to</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the Second Amended and Restated By-Laws effective February 15, 2013.</w:t>
              </w:r>
            </w:hyperlink>
          </w:p>
        </w:tc>
        <w:tc>
          <w:tcPr>
            <w:tcW w:w="224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Designation of Series A-1 Junior Participating Preferred Stock of Enzon Pharmaceuticals,</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 filed with the Secretary of State of the State of Delaware on August 14, 2020.</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Designation of Series C Non-Convertible Redeemable Preferred Stock of Enzon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Pharmaceuticals, Inc., filed with the Secretary of State of the State of Delaware on September 21, 2020.</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First Amendment to the Second Amended and Restated By-Laws, effective February 24, 2022.</w:t>
              </w:r>
            </w:hyperlink>
          </w:p>
        </w:tc>
        <w:tc>
          <w:tcPr>
            <w:tcW w:w="62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Amendment to the Amended and Restated Certificate of Incorporation of Enzon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Pharmaceuticals, Inc. dated March 24, 2026.</w:t>
              </w:r>
            </w:hyperlink>
          </w:p>
        </w:tc>
        <w:tc>
          <w:tcPr>
            <w:tcW w:w="4320" w:type="dxa"/>
            <w:vAlign w:val="bottom"/>
            <w:gridSpan w:val="13"/>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to the Amended and Restated Certificate of Incorporation of Enzon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Pharmaceuticals, Inc. dated March 20, 2026.</w:t>
              </w:r>
            </w:hyperlink>
          </w:p>
        </w:tc>
        <w:tc>
          <w:tcPr>
            <w:tcW w:w="4320" w:type="dxa"/>
            <w:vAlign w:val="bottom"/>
            <w:gridSpan w:val="13"/>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w:t>
            </w:r>
          </w:p>
        </w:tc>
        <w:tc>
          <w:tcPr>
            <w:tcW w:w="240" w:type="dxa"/>
            <w:vAlign w:val="bottom"/>
          </w:tcPr>
          <w:p>
            <w:pPr>
              <w:spacing w:after="0"/>
              <w:rPr>
                <w:sz w:val="17"/>
                <w:szCs w:val="17"/>
                <w:color w:val="auto"/>
              </w:rPr>
            </w:pPr>
          </w:p>
        </w:tc>
        <w:tc>
          <w:tcPr>
            <w:tcW w:w="4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Amendment, dated as of March 26, 2026.</w:t>
              </w:r>
            </w:hyperlink>
          </w:p>
        </w:tc>
        <w:tc>
          <w:tcPr>
            <w:tcW w:w="354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3.9</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Elimination of Series A-1 Junior Participating Preferred Stock, dated as of March 26,</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58">
              <w:r>
                <w:rPr>
                  <w:rFonts w:ascii="Times New Roman" w:cs="Times New Roman" w:eastAsia="Times New Roman" w:hAnsi="Times New Roman"/>
                  <w:sz w:val="18"/>
                  <w:szCs w:val="18"/>
                  <w:color w:val="0000EE"/>
                  <w:w w:val="93"/>
                </w:rPr>
                <w:t>2026.</w:t>
              </w:r>
            </w:hyperlink>
          </w:p>
        </w:tc>
        <w:tc>
          <w:tcPr>
            <w:tcW w:w="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Seventh Amendment to the Section 382 Rights Agreement, dated as of January 30, 2026, by and</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between Enzon Pharmaceuticals, Inc. and Continental Stock Transfer &amp; Trust Company.</w:t>
              </w:r>
            </w:hyperlink>
          </w:p>
        </w:tc>
        <w:tc>
          <w:tcPr>
            <w:tcW w:w="11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Eighth Amendment to the Section 382 Rights Agreement, dated as of February 27, 2026, by and</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between Enzon Pharmaceuticals, Inc. and Continental Stock Transfer &amp; Trust Company.</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4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Ninth Amendment to the Section 382 Rights Agreement, dated as of March 10, 2026, by and between</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Enzon Pharmaceuticals, Inc. and Continental Stock Transfer &amp; Trust Company.</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Tenth Amendment to the Section 382 Rights Agreement, dated as of March 18, 2026, by and between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Enzon Pharmaceuticals, Inc. and Continental Stock Transfer &amp; Trust Company.</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Eleventh Amendment to the Section 382 Rights Agreement, dated as of March 23, 2026, by and</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between Enzon Pharmaceuticals, Inc. and Continental Stock Transfer &amp; Trust Company.</w:t>
              </w:r>
            </w:hyperlink>
          </w:p>
        </w:tc>
        <w:tc>
          <w:tcPr>
            <w:tcW w:w="11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First Amendment to Agreement and Plan of Merger, dated as of October 24, 2025, by and between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Enzon Pharmaceuticals, Inc., EPSC Acquisition Corp., and Viskase Companies, Inc.</w:t>
              </w:r>
            </w:hyperlink>
          </w:p>
        </w:tc>
        <w:tc>
          <w:tcPr>
            <w:tcW w:w="146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First Amendment to Support Agreement, dated as of October 24, 2025, by and between Icahn</w:t>
              </w:r>
            </w:hyperlink>
          </w:p>
        </w:tc>
        <w:tc>
          <w:tcPr>
            <w:tcW w:w="2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Enterprises Holdings L.P. and certain of its affiliates, Enzon Pharmaceuticals, Inc. and Viskase</w:t>
              </w:r>
            </w:hyperlink>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Companies, Inc.</w:t>
              </w:r>
            </w:hyperlink>
          </w:p>
        </w:tc>
        <w:tc>
          <w:tcPr>
            <w:tcW w:w="634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36"/>
        </w:trPr>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506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Seventh Amendment to Credit Agreement, dated as of April 16, 2026.</w:t>
              </w:r>
            </w:hyperlink>
          </w:p>
        </w:tc>
        <w:tc>
          <w:tcPr>
            <w:tcW w:w="2760" w:type="dxa"/>
            <w:vAlign w:val="bottom"/>
            <w:gridSpan w:val="3"/>
          </w:tcPr>
          <w:p>
            <w:pPr>
              <w:spacing w:after="0"/>
              <w:rPr>
                <w:sz w:val="24"/>
                <w:szCs w:val="24"/>
                <w:color w:val="auto"/>
              </w:rPr>
            </w:pP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12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7"/>
                <w:szCs w:val="17"/>
                <w:color w:val="auto"/>
              </w:rPr>
            </w:pPr>
          </w:p>
        </w:tc>
        <w:tc>
          <w:tcPr>
            <w:tcW w:w="7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c>
          <w:tcPr>
            <w:tcW w:w="460" w:type="dxa"/>
            <w:vAlign w:val="bottom"/>
          </w:tcPr>
          <w:p>
            <w:pPr>
              <w:spacing w:after="0"/>
              <w:rPr>
                <w:sz w:val="17"/>
                <w:szCs w:val="17"/>
                <w:color w:val="auto"/>
              </w:rPr>
            </w:pPr>
          </w:p>
        </w:tc>
      </w:tr>
      <w:tr>
        <w:trPr>
          <w:trHeight w:val="196"/>
        </w:trPr>
        <w:tc>
          <w:tcPr>
            <w:tcW w:w="12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7"/>
                <w:szCs w:val="17"/>
                <w:color w:val="auto"/>
              </w:rPr>
            </w:pPr>
          </w:p>
        </w:tc>
        <w:tc>
          <w:tcPr>
            <w:tcW w:w="7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906 of the Sarbanes-Oxley Act of 2002*</w:t>
            </w:r>
          </w:p>
        </w:tc>
        <w:tc>
          <w:tcPr>
            <w:tcW w:w="460" w:type="dxa"/>
            <w:vAlign w:val="bottom"/>
          </w:tcPr>
          <w:p>
            <w:pPr>
              <w:spacing w:after="0"/>
              <w:rPr>
                <w:sz w:val="17"/>
                <w:szCs w:val="17"/>
                <w:color w:val="auto"/>
              </w:rPr>
            </w:pPr>
          </w:p>
        </w:tc>
      </w:tr>
      <w:tr>
        <w:trPr>
          <w:trHeight w:val="196"/>
        </w:trPr>
        <w:tc>
          <w:tcPr>
            <w:tcW w:w="12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the Sarbanes-Oxley Act of 2002*</w:t>
            </w:r>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8"/>
        </w:trPr>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16"/>
        </w:trPr>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w:t>
            </w: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234"/>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information contained in Exhibits 101).</w:t>
            </w: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firstLine="8"/>
        <w:spacing w:after="0" w:line="266" w:lineRule="auto"/>
        <w:tabs>
          <w:tab w:leader="none" w:pos="4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by the Commission and is not to be incorporated by reference in any filing the Company makes under the Securities Act of 1933 or the Securities Exchange Act of 1934, irrespective of any general incorporation language in any filings.</w:t>
      </w:r>
    </w:p>
    <w:p>
      <w:pPr>
        <w:spacing w:after="0" w:line="176" w:lineRule="exact"/>
        <w:rPr>
          <w:sz w:val="20"/>
          <w:szCs w:val="20"/>
          <w:color w:val="auto"/>
        </w:rPr>
      </w:pPr>
    </w:p>
    <w:p>
      <w:pPr>
        <w:ind w:right="20" w:firstLine="8"/>
        <w:spacing w:after="0" w:line="282" w:lineRule="auto"/>
        <w:tabs>
          <w:tab w:leader="none" w:pos="4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601(b)(2). The Company agrees to furnish a copy of all omitted exhibits and schedules to the SEC upon its request.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Referenced exhibit was previously filed with the SEC as an exhibit to the Company’s filing indicated below and is incorporated herein by reference to that filing:</w:t>
      </w:r>
    </w:p>
    <w:p>
      <w:pPr>
        <w:spacing w:after="0" w:line="175" w:lineRule="exact"/>
        <w:rPr>
          <w:sz w:val="20"/>
          <w:szCs w:val="20"/>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Quarterly Report on Form 10-Q for the quarter ended June 30, 2010, filed on August 9, 2010.</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Annual Report on Form 10-K for the year ended December 31, 2012, filed on March 18, 2013.</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Current Report on Form 8-K filed on August 14, 2020.</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Current Report on Form 8-K filed on September 23, 2020.</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Annual Report on Form 10-K for the fiscal year ended December 31, 2021, filed on February 25, 2022.</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Current Report on Form 8-K filed on January 30,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Current Report on Form 8-K filed on February 27,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Current Report on Form 8-K filed on October 24, 2025.</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Current Report on Form 8-K filed on March 11,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(10)Current Report on Form 8-K filed on March 18,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(11)Current Report on Form 8-K filed on March 24,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(12)Current Report on Form 8-K filed on March 26, 2026.</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(13)Current Report on Form 8-K filed with the SEC on June 23, 2025.</w:t>
      </w:r>
    </w:p>
    <w:p>
      <w:pPr>
        <w:spacing w:after="0" w:line="225"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(14)Current Report on Form 8-K filed on April 21, 2026.</w:t>
      </w:r>
    </w:p>
    <w:p>
      <w:pPr>
        <w:sectPr>
          <w:pgSz w:w="11900" w:h="16838" w:orient="portrait"/>
          <w:cols w:equalWidth="0" w:num="1">
            <w:col w:w="9920"/>
          </w:cols>
          <w:pgMar w:left="980" w:top="49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9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VISKASE HOLDINGS, INC.</w:t>
            </w:r>
          </w:p>
        </w:tc>
      </w:tr>
      <w:tr>
        <w:trPr>
          <w:trHeight w:val="234"/>
        </w:trPr>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180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D. Davis</w:t>
            </w:r>
          </w:p>
        </w:tc>
      </w:tr>
      <w:tr>
        <w:trPr>
          <w:trHeight w:val="191"/>
        </w:trPr>
        <w:tc>
          <w:tcPr>
            <w:tcW w:w="3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D. Davis</w:t>
            </w:r>
          </w:p>
        </w:tc>
      </w:tr>
      <w:tr>
        <w:trPr>
          <w:trHeight w:val="216"/>
        </w:trPr>
        <w:tc>
          <w:tcPr>
            <w:tcW w:w="3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180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Blecic</w:t>
            </w:r>
          </w:p>
        </w:tc>
      </w:tr>
      <w:tr>
        <w:trPr>
          <w:trHeight w:val="191"/>
        </w:trPr>
        <w:tc>
          <w:tcPr>
            <w:tcW w:w="3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Blecic</w:t>
            </w:r>
          </w:p>
        </w:tc>
      </w:tr>
      <w:tr>
        <w:trPr>
          <w:trHeight w:val="216"/>
        </w:trPr>
        <w:tc>
          <w:tcPr>
            <w:tcW w:w="3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Vice President, Chief Accounting Officer,</w:t>
            </w:r>
          </w:p>
        </w:tc>
      </w:tr>
      <w:tr>
        <w:trPr>
          <w:trHeight w:val="216"/>
        </w:trPr>
        <w:tc>
          <w:tcPr>
            <w:tcW w:w="3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234"/>
        </w:trPr>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864"/>
        </w:trPr>
        <w:tc>
          <w:tcPr>
            <w:tcW w:w="3160" w:type="dxa"/>
            <w:vAlign w:val="bottom"/>
          </w:tcPr>
          <w:p>
            <w:pPr>
              <w:spacing w:after="0"/>
              <w:rPr>
                <w:sz w:val="24"/>
                <w:szCs w:val="24"/>
                <w:color w:val="auto"/>
              </w:rPr>
            </w:pPr>
          </w:p>
        </w:tc>
        <w:tc>
          <w:tcPr>
            <w:tcW w:w="6760" w:type="dxa"/>
            <w:vAlign w:val="bottom"/>
            <w:gridSpan w:val="2"/>
          </w:tcPr>
          <w:p>
            <w:pPr>
              <w:jc w:val="right"/>
              <w:ind w:right="4770"/>
              <w:spacing w:after="0"/>
              <w:rPr>
                <w:sz w:val="20"/>
                <w:szCs w:val="20"/>
                <w:color w:val="auto"/>
              </w:rPr>
            </w:pPr>
            <w:r>
              <w:rPr>
                <w:rFonts w:ascii="Times New Roman" w:cs="Times New Roman" w:eastAsia="Times New Roman" w:hAnsi="Times New Roman"/>
                <w:sz w:val="18"/>
                <w:szCs w:val="18"/>
                <w:color w:val="auto"/>
              </w:rPr>
              <w:t>39</w:t>
            </w:r>
          </w:p>
        </w:tc>
      </w:tr>
      <w:tr>
        <w:trPr>
          <w:trHeight w:val="547"/>
        </w:trPr>
        <w:tc>
          <w:tcPr>
            <w:tcW w:w="3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D. Davis,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Viskase Holdings,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620" w:right="320" w:hanging="316"/>
        <w:spacing w:after="0" w:line="261"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620" w:right="40" w:hanging="316"/>
        <w:spacing w:after="0" w:line="261"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right="180" w:hanging="316"/>
        <w:spacing w:after="0" w:line="266"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100" w:hanging="316"/>
        <w:spacing w:after="0" w:line="261"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right="200" w:hanging="316"/>
        <w:spacing w:after="0" w:line="282"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 /s/ Thomas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Thomas D. Davis</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Blecic,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Viskase Holdings,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620" w:right="320" w:hanging="316"/>
        <w:spacing w:after="0" w:line="261"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620" w:right="40" w:hanging="316"/>
        <w:spacing w:after="0" w:line="261"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right="180" w:hanging="316"/>
        <w:spacing w:after="0" w:line="266"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100" w:hanging="316"/>
        <w:spacing w:after="0" w:line="261"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right="120" w:hanging="316"/>
        <w:spacing w:after="0" w:line="266"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right="200" w:hanging="316"/>
        <w:spacing w:after="0" w:line="282"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 /s/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Michael Blecic</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Thomas D. Davis, the Chief Executive Officer (Principal Executive Officer), of Viskase Holdings, Inc. (the “Company”), hereby certify, that, to my knowledge:</w:t>
      </w:r>
    </w:p>
    <w:p>
      <w:pPr>
        <w:spacing w:after="0" w:line="108" w:lineRule="exact"/>
        <w:rPr>
          <w:sz w:val="20"/>
          <w:szCs w:val="20"/>
          <w:color w:val="auto"/>
        </w:rPr>
      </w:pPr>
    </w:p>
    <w:p>
      <w:pPr>
        <w:ind w:left="980" w:right="2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(the “Report”) of the Company fully complies with the requirements of Section 13(a) or 15(d) of the Securities Exchange Act of 1934; and</w:t>
      </w:r>
    </w:p>
    <w:p>
      <w:pPr>
        <w:spacing w:after="0" w:line="94"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8"/>
          <w:szCs w:val="18"/>
          <w:color w:val="auto"/>
        </w:rPr>
        <w:t>Dated: May 4, 2026</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Thomas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5715</wp:posOffset>
            </wp:positionV>
            <wp:extent cx="31286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Thomas D. Davis</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Michael Blecic, the Chief Financial Officer (Principal Financial Officer and Principal Accounting Officer), of Viskase Holdings, Inc. (the “Company”), hereby certify, that, to my knowledge:</w:t>
      </w:r>
    </w:p>
    <w:p>
      <w:pPr>
        <w:spacing w:after="0" w:line="176" w:lineRule="exact"/>
        <w:rPr>
          <w:sz w:val="20"/>
          <w:szCs w:val="20"/>
          <w:color w:val="auto"/>
        </w:rPr>
      </w:pPr>
    </w:p>
    <w:p>
      <w:pPr>
        <w:ind w:left="980" w:right="2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(the “Report”)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Dated: May 4, 2026</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5715</wp:posOffset>
            </wp:positionV>
            <wp:extent cx="30086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Michael Blecic</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6"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49" Type="http://schemas.openxmlformats.org/officeDocument/2006/relationships/hyperlink" Target="https://www.sec.gov/Archives/edgar/data/727510/000110465925061311/tm2518511d1_ex2-1.htm" TargetMode="External"/><Relationship Id="rId50" Type="http://schemas.openxmlformats.org/officeDocument/2006/relationships/hyperlink" Target="https://www.sec.gov/Archives/edgar/data/727510/000093041310004342/c62401_ex3-1.txt" TargetMode="External"/><Relationship Id="rId51" Type="http://schemas.openxmlformats.org/officeDocument/2006/relationships/hyperlink" Target="https://www.sec.gov/Archives/edgar/data/727510/000114420413015878/v336897_ex3-2.htm" TargetMode="External"/><Relationship Id="rId52" Type="http://schemas.openxmlformats.org/officeDocument/2006/relationships/hyperlink" Target="https://www.sec.gov/Archives/edgar/data/727510/000110465920095642/tm2027628d2_ex3-2.htm" TargetMode="External"/><Relationship Id="rId53" Type="http://schemas.openxmlformats.org/officeDocument/2006/relationships/hyperlink" Target="https://www.sec.gov/Archives/edgar/data/727510/000110465920107817/tm2031479d1_ex3-1.htm" TargetMode="External"/><Relationship Id="rId54" Type="http://schemas.openxmlformats.org/officeDocument/2006/relationships/hyperlink" Target="https://www.sec.gov/Archives/edgar/data/727510/000141057822000226/enzn-20211231xex10d7.htm" TargetMode="External"/><Relationship Id="rId55" Type="http://schemas.openxmlformats.org/officeDocument/2006/relationships/hyperlink" Target="https://www.sec.gov/Archives/edgar/data/727510/000110465926033624/tm267492d15_ex3-1.htm" TargetMode="External"/><Relationship Id="rId56" Type="http://schemas.openxmlformats.org/officeDocument/2006/relationships/hyperlink" Target="https://www.sec.gov/Archives/edgar/data/727510/000110465926033624/tm267492d15_ex3-2.htm" TargetMode="External"/><Relationship Id="rId57" Type="http://schemas.openxmlformats.org/officeDocument/2006/relationships/hyperlink" Target="https://www.sec.gov/Archives/edgar/data/727510/000110465926035301/tm269894d1_ex3-1.htm" TargetMode="External"/><Relationship Id="rId58" Type="http://schemas.openxmlformats.org/officeDocument/2006/relationships/hyperlink" Target="https://www.sec.gov/Archives/edgar/data/727510/000110465926035301/tm269894d1_ex3-2.htm" TargetMode="External"/><Relationship Id="rId59" Type="http://schemas.openxmlformats.org/officeDocument/2006/relationships/hyperlink" Target="https://www.sec.gov/Archives/edgar/data/727510/000110465926008322/tm2521156d11_ex4-1.htm" TargetMode="External"/><Relationship Id="rId60" Type="http://schemas.openxmlformats.org/officeDocument/2006/relationships/hyperlink" Target="https://www.sec.gov/Archives/edgar/data/727510/000110465926021051/tm267491d2_ex4-1.htm" TargetMode="External"/><Relationship Id="rId61" Type="http://schemas.openxmlformats.org/officeDocument/2006/relationships/hyperlink" Target="https://www.sec.gov/Archives/edgar/data/727510/000110465926026169/tm267492d8_ex4-1.htm" TargetMode="External"/><Relationship Id="rId62" Type="http://schemas.openxmlformats.org/officeDocument/2006/relationships/hyperlink" Target="https://www.sec.gov/Archives/edgar/data/727510/000110465926029952/tm267491d4_ex4-1.htm" TargetMode="External"/><Relationship Id="rId63" Type="http://schemas.openxmlformats.org/officeDocument/2006/relationships/hyperlink" Target="https://www.sec.gov/Archives/edgar/data/727510/000110465926033624/tm267492d15_ex4-1.htm" TargetMode="External"/><Relationship Id="rId64" Type="http://schemas.openxmlformats.org/officeDocument/2006/relationships/hyperlink" Target="https://www.sec.gov/Archives/edgar/data/727510/000110465925102127/tm2529311d1_ex2-1.htm" TargetMode="External"/><Relationship Id="rId65" Type="http://schemas.openxmlformats.org/officeDocument/2006/relationships/hyperlink" Target="https://www.sec.gov/Archives/edgar/data/727510/000110465925102127/tm2529311d1_ex10-1.htm" TargetMode="External"/><Relationship Id="rId67" Type="http://schemas.openxmlformats.org/officeDocument/2006/relationships/hyperlink" Target="https://www.sec.gov/Archives/edgar/data/727510/000110465926046064/tm261227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2026-05-04T15:25:30Z</dcterms:created>
  <dcterms:modified xsi:type="dcterms:W3CDTF">2026-05-04T15:25:30Z</dcterms:modified>
</cp:coreProperties>
</file>